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C" w:rsidRPr="00657D69" w:rsidRDefault="003B755C" w:rsidP="00E41453">
      <w:pPr>
        <w:ind w:right="-213"/>
        <w:jc w:val="center"/>
        <w:rPr>
          <w:b/>
          <w:spacing w:val="20"/>
          <w:sz w:val="22"/>
          <w:szCs w:val="22"/>
        </w:rPr>
      </w:pPr>
      <w:bookmarkStart w:id="0" w:name="_GoBack"/>
      <w:bookmarkEnd w:id="0"/>
      <w:r w:rsidRPr="00657D69">
        <w:rPr>
          <w:b/>
          <w:spacing w:val="20"/>
          <w:sz w:val="22"/>
          <w:szCs w:val="22"/>
        </w:rPr>
        <w:t>SABIEDRĪBAS AR IEROBEŽOTU ATBILDĪBU</w:t>
      </w:r>
    </w:p>
    <w:p w:rsidR="003B755C" w:rsidRPr="00657D69" w:rsidRDefault="003B755C" w:rsidP="00E41453">
      <w:pPr>
        <w:ind w:right="-213"/>
        <w:jc w:val="center"/>
        <w:rPr>
          <w:b/>
          <w:spacing w:val="20"/>
          <w:sz w:val="22"/>
          <w:szCs w:val="22"/>
        </w:rPr>
      </w:pPr>
      <w:r w:rsidRPr="00657D69">
        <w:rPr>
          <w:b/>
          <w:spacing w:val="20"/>
          <w:sz w:val="22"/>
          <w:szCs w:val="22"/>
        </w:rPr>
        <w:t>„JŪRMALAS ŪDENS”</w:t>
      </w:r>
    </w:p>
    <w:p w:rsidR="003B755C" w:rsidRPr="00657D69" w:rsidRDefault="003B755C" w:rsidP="001652CC">
      <w:pPr>
        <w:tabs>
          <w:tab w:val="left" w:pos="0"/>
          <w:tab w:val="left" w:pos="180"/>
          <w:tab w:val="left" w:pos="8820"/>
          <w:tab w:val="left" w:pos="9000"/>
          <w:tab w:val="left" w:pos="9180"/>
        </w:tabs>
        <w:ind w:left="180" w:right="153"/>
        <w:jc w:val="center"/>
        <w:rPr>
          <w:b/>
          <w:sz w:val="22"/>
          <w:szCs w:val="22"/>
        </w:rPr>
      </w:pPr>
    </w:p>
    <w:p w:rsidR="003B755C" w:rsidRPr="00657D69" w:rsidRDefault="003B755C" w:rsidP="001652CC">
      <w:pPr>
        <w:tabs>
          <w:tab w:val="left" w:pos="0"/>
          <w:tab w:val="left" w:pos="180"/>
          <w:tab w:val="left" w:pos="8820"/>
          <w:tab w:val="left" w:pos="9000"/>
          <w:tab w:val="left" w:pos="9180"/>
        </w:tabs>
        <w:ind w:left="180" w:right="153"/>
        <w:jc w:val="center"/>
        <w:rPr>
          <w:b/>
          <w:sz w:val="22"/>
          <w:szCs w:val="22"/>
        </w:rPr>
      </w:pPr>
      <w:r>
        <w:rPr>
          <w:b/>
          <w:sz w:val="22"/>
          <w:szCs w:val="22"/>
        </w:rPr>
        <w:t>iepirkuma ar ID Nr. 8</w:t>
      </w:r>
      <w:r>
        <w:rPr>
          <w:b/>
          <w:sz w:val="22"/>
          <w:szCs w:val="22"/>
          <w:vertAlign w:val="superscript"/>
        </w:rPr>
        <w:t>2</w:t>
      </w:r>
      <w:r>
        <w:rPr>
          <w:b/>
          <w:sz w:val="22"/>
          <w:szCs w:val="22"/>
        </w:rPr>
        <w:t>PI</w:t>
      </w:r>
      <w:r w:rsidRPr="00657D69">
        <w:rPr>
          <w:b/>
          <w:sz w:val="22"/>
          <w:szCs w:val="22"/>
        </w:rPr>
        <w:t>-JU-0</w:t>
      </w:r>
      <w:r>
        <w:rPr>
          <w:b/>
          <w:sz w:val="22"/>
          <w:szCs w:val="22"/>
        </w:rPr>
        <w:t>4/2014</w:t>
      </w:r>
      <w:r w:rsidRPr="00657D69">
        <w:rPr>
          <w:b/>
          <w:sz w:val="22"/>
          <w:szCs w:val="22"/>
        </w:rPr>
        <w:t xml:space="preserve"> </w:t>
      </w:r>
    </w:p>
    <w:p w:rsidR="003B755C" w:rsidRPr="00657D69" w:rsidRDefault="003B755C" w:rsidP="001652CC">
      <w:pPr>
        <w:pStyle w:val="BodyText2"/>
        <w:tabs>
          <w:tab w:val="left" w:pos="180"/>
        </w:tabs>
        <w:spacing w:line="240" w:lineRule="auto"/>
        <w:ind w:left="180" w:right="153"/>
        <w:jc w:val="center"/>
        <w:rPr>
          <w:b/>
          <w:szCs w:val="22"/>
        </w:rPr>
      </w:pPr>
      <w:r w:rsidRPr="00657D69">
        <w:rPr>
          <w:b/>
          <w:szCs w:val="22"/>
        </w:rPr>
        <w:t xml:space="preserve"> „</w:t>
      </w:r>
      <w:r w:rsidRPr="00E21F29">
        <w:rPr>
          <w:b/>
          <w:bCs/>
        </w:rPr>
        <w:t>par tiesībām veikt</w:t>
      </w:r>
      <w:r>
        <w:rPr>
          <w:b/>
          <w:bCs/>
        </w:rPr>
        <w:t xml:space="preserve"> Nometņu ielas rajona grāvja uzturēšanas darbus</w:t>
      </w:r>
      <w:r w:rsidRPr="00E21F29">
        <w:rPr>
          <w:b/>
          <w:bCs/>
        </w:rPr>
        <w:t>, Jūrmalā</w:t>
      </w:r>
      <w:r w:rsidRPr="00C14789">
        <w:rPr>
          <w:b/>
          <w:bCs/>
        </w:rPr>
        <w:t xml:space="preserve"> </w:t>
      </w:r>
      <w:r w:rsidRPr="00127E7E">
        <w:rPr>
          <w:b/>
          <w:bCs/>
        </w:rPr>
        <w:t>saskaņā ar līguma noteikumiem</w:t>
      </w:r>
      <w:r w:rsidRPr="00657D69">
        <w:rPr>
          <w:b/>
          <w:szCs w:val="22"/>
        </w:rPr>
        <w:t>”</w:t>
      </w:r>
    </w:p>
    <w:p w:rsidR="003B755C" w:rsidRPr="00657D69" w:rsidRDefault="003B755C" w:rsidP="001652CC">
      <w:pPr>
        <w:pStyle w:val="BodyText2"/>
        <w:tabs>
          <w:tab w:val="left" w:pos="180"/>
        </w:tabs>
        <w:spacing w:line="240" w:lineRule="auto"/>
        <w:ind w:left="180" w:right="153"/>
        <w:jc w:val="center"/>
        <w:rPr>
          <w:b/>
          <w:szCs w:val="22"/>
        </w:rPr>
      </w:pPr>
    </w:p>
    <w:p w:rsidR="003B755C" w:rsidRPr="00657D69" w:rsidRDefault="003B755C" w:rsidP="001652CC">
      <w:pPr>
        <w:pStyle w:val="BodyText2"/>
        <w:tabs>
          <w:tab w:val="left" w:pos="180"/>
        </w:tabs>
        <w:spacing w:line="240" w:lineRule="auto"/>
        <w:ind w:left="180" w:right="153"/>
        <w:jc w:val="center"/>
        <w:rPr>
          <w:b/>
          <w:szCs w:val="22"/>
        </w:rPr>
      </w:pPr>
      <w:r w:rsidRPr="00657D69">
        <w:rPr>
          <w:b/>
          <w:szCs w:val="22"/>
        </w:rPr>
        <w:t>IEPIRKUMU KOMISIJAS SĒDES</w:t>
      </w:r>
    </w:p>
    <w:p w:rsidR="003B755C" w:rsidRPr="00657D69" w:rsidRDefault="003B755C" w:rsidP="00E41453">
      <w:pPr>
        <w:spacing w:before="60" w:after="60"/>
        <w:ind w:right="-213"/>
        <w:jc w:val="center"/>
        <w:rPr>
          <w:b/>
          <w:spacing w:val="20"/>
          <w:sz w:val="22"/>
          <w:szCs w:val="22"/>
        </w:rPr>
      </w:pPr>
      <w:smartTag w:uri="schemas-tilde-lv/tildestengine" w:element="veidnes">
        <w:smartTagPr>
          <w:attr w:name="text" w:val="PROTOKOLS"/>
          <w:attr w:name="baseform" w:val="PROTOKOLS"/>
          <w:attr w:name="id" w:val="-1"/>
        </w:smartTagPr>
        <w:r w:rsidRPr="00657D69">
          <w:rPr>
            <w:b/>
            <w:spacing w:val="20"/>
            <w:sz w:val="22"/>
            <w:szCs w:val="22"/>
          </w:rPr>
          <w:t>PROTOKOLS</w:t>
        </w:r>
      </w:smartTag>
      <w:r w:rsidRPr="00657D69">
        <w:rPr>
          <w:b/>
          <w:spacing w:val="20"/>
          <w:sz w:val="22"/>
          <w:szCs w:val="22"/>
        </w:rPr>
        <w:t xml:space="preserve"> Nr.1</w:t>
      </w:r>
    </w:p>
    <w:p w:rsidR="003B755C" w:rsidRPr="00657D69" w:rsidRDefault="003B755C" w:rsidP="00E41453">
      <w:pPr>
        <w:spacing w:before="60" w:after="60"/>
        <w:ind w:right="-213"/>
        <w:jc w:val="center"/>
        <w:rPr>
          <w:b/>
          <w:spacing w:val="20"/>
          <w:sz w:val="22"/>
          <w:szCs w:val="22"/>
        </w:rPr>
      </w:pPr>
    </w:p>
    <w:p w:rsidR="003B755C" w:rsidRPr="00191355" w:rsidRDefault="003B755C" w:rsidP="007D7828">
      <w:pPr>
        <w:tabs>
          <w:tab w:val="right" w:pos="9000"/>
        </w:tabs>
        <w:ind w:right="-33"/>
        <w:jc w:val="both"/>
        <w:rPr>
          <w:sz w:val="22"/>
          <w:szCs w:val="22"/>
        </w:rPr>
      </w:pPr>
      <w:r w:rsidRPr="00191355">
        <w:rPr>
          <w:sz w:val="22"/>
          <w:szCs w:val="22"/>
        </w:rPr>
        <w:t>Jūrmalā, Promenādes  ielā 1a</w:t>
      </w:r>
      <w:r w:rsidRPr="00191355">
        <w:rPr>
          <w:sz w:val="22"/>
          <w:szCs w:val="22"/>
        </w:rPr>
        <w:tab/>
        <w:t>2014.gada 31.jūlijā</w:t>
      </w:r>
    </w:p>
    <w:p w:rsidR="003B755C" w:rsidRPr="00191355" w:rsidRDefault="003B755C" w:rsidP="007D7828">
      <w:pPr>
        <w:ind w:right="-213"/>
        <w:jc w:val="both"/>
        <w:rPr>
          <w:sz w:val="22"/>
          <w:szCs w:val="22"/>
        </w:rPr>
      </w:pPr>
      <w:r w:rsidRPr="00191355">
        <w:rPr>
          <w:sz w:val="22"/>
          <w:szCs w:val="22"/>
        </w:rPr>
        <w:t>Sēde atklāta plkst.13:00</w:t>
      </w:r>
    </w:p>
    <w:p w:rsidR="003B755C" w:rsidRPr="00191355" w:rsidRDefault="003B755C" w:rsidP="007D7828">
      <w:pPr>
        <w:ind w:right="-213"/>
        <w:jc w:val="both"/>
        <w:rPr>
          <w:b/>
          <w:sz w:val="22"/>
          <w:szCs w:val="22"/>
          <w:u w:val="single"/>
        </w:rPr>
      </w:pPr>
    </w:p>
    <w:p w:rsidR="003B755C" w:rsidRPr="00191355" w:rsidRDefault="003B755C" w:rsidP="007D7828">
      <w:pPr>
        <w:ind w:right="-213"/>
        <w:jc w:val="both"/>
        <w:rPr>
          <w:b/>
          <w:sz w:val="22"/>
          <w:szCs w:val="22"/>
        </w:rPr>
      </w:pPr>
      <w:r w:rsidRPr="00191355">
        <w:rPr>
          <w:b/>
          <w:sz w:val="22"/>
          <w:szCs w:val="22"/>
          <w:u w:val="single"/>
        </w:rPr>
        <w:t>Piedalās:</w:t>
      </w:r>
    </w:p>
    <w:p w:rsidR="003B755C" w:rsidRPr="00191355" w:rsidRDefault="003B755C" w:rsidP="007D7828">
      <w:pPr>
        <w:ind w:right="-213"/>
        <w:jc w:val="both"/>
        <w:rPr>
          <w:sz w:val="22"/>
          <w:szCs w:val="22"/>
        </w:rPr>
      </w:pPr>
      <w:r w:rsidRPr="00191355">
        <w:rPr>
          <w:sz w:val="22"/>
          <w:szCs w:val="22"/>
        </w:rPr>
        <w:t>Komisijas locekļi:</w:t>
      </w:r>
    </w:p>
    <w:p w:rsidR="003B755C" w:rsidRPr="00191355" w:rsidRDefault="003B755C" w:rsidP="007D7828">
      <w:pPr>
        <w:ind w:right="-213"/>
        <w:jc w:val="both"/>
        <w:rPr>
          <w:sz w:val="22"/>
          <w:szCs w:val="22"/>
        </w:rPr>
      </w:pPr>
      <w:bookmarkStart w:id="1" w:name="OLE_LINK9"/>
      <w:bookmarkStart w:id="2" w:name="OLE_LINK10"/>
      <w:bookmarkStart w:id="3" w:name="OLE_LINK17"/>
      <w:bookmarkStart w:id="4" w:name="OLE_LINK18"/>
      <w:bookmarkStart w:id="5" w:name="OLE_LINK5"/>
      <w:bookmarkStart w:id="6" w:name="OLE_LINK6"/>
      <w:bookmarkStart w:id="7" w:name="OLE_LINK15"/>
      <w:r w:rsidRPr="00191355">
        <w:rPr>
          <w:sz w:val="22"/>
          <w:szCs w:val="22"/>
        </w:rPr>
        <w:t>P.Plinte, A.Kamarūts un L.Janberga.</w:t>
      </w:r>
    </w:p>
    <w:bookmarkEnd w:id="1"/>
    <w:bookmarkEnd w:id="2"/>
    <w:bookmarkEnd w:id="3"/>
    <w:bookmarkEnd w:id="4"/>
    <w:bookmarkEnd w:id="5"/>
    <w:bookmarkEnd w:id="6"/>
    <w:bookmarkEnd w:id="7"/>
    <w:p w:rsidR="003B755C" w:rsidRPr="00191355" w:rsidRDefault="003B755C" w:rsidP="007D7828">
      <w:pPr>
        <w:ind w:right="-213"/>
        <w:jc w:val="both"/>
        <w:rPr>
          <w:sz w:val="22"/>
          <w:szCs w:val="22"/>
        </w:rPr>
      </w:pPr>
      <w:r w:rsidRPr="00191355">
        <w:rPr>
          <w:b/>
          <w:sz w:val="22"/>
          <w:szCs w:val="22"/>
          <w:u w:val="single"/>
        </w:rPr>
        <w:t>Sēdi vada</w:t>
      </w:r>
      <w:r w:rsidRPr="00191355">
        <w:rPr>
          <w:b/>
          <w:sz w:val="22"/>
          <w:szCs w:val="22"/>
        </w:rPr>
        <w:t xml:space="preserve"> - </w:t>
      </w:r>
      <w:r w:rsidRPr="00191355">
        <w:rPr>
          <w:sz w:val="22"/>
          <w:szCs w:val="22"/>
        </w:rPr>
        <w:t>komisijas priekšsēdētājs P.Plinte.</w:t>
      </w:r>
    </w:p>
    <w:p w:rsidR="003B755C" w:rsidRPr="00191355" w:rsidRDefault="003B755C" w:rsidP="007D7828">
      <w:pPr>
        <w:ind w:right="-213"/>
        <w:jc w:val="both"/>
        <w:rPr>
          <w:b/>
          <w:sz w:val="22"/>
          <w:szCs w:val="22"/>
          <w:u w:val="single"/>
        </w:rPr>
      </w:pPr>
      <w:r w:rsidRPr="00191355">
        <w:rPr>
          <w:b/>
          <w:bCs/>
          <w:sz w:val="22"/>
          <w:szCs w:val="22"/>
          <w:u w:val="single"/>
        </w:rPr>
        <w:t>Protokolē</w:t>
      </w:r>
      <w:r w:rsidRPr="00191355">
        <w:rPr>
          <w:b/>
          <w:bCs/>
          <w:sz w:val="22"/>
          <w:szCs w:val="22"/>
        </w:rPr>
        <w:t xml:space="preserve"> –</w:t>
      </w:r>
      <w:r w:rsidRPr="00191355">
        <w:rPr>
          <w:sz w:val="22"/>
          <w:szCs w:val="22"/>
        </w:rPr>
        <w:t xml:space="preserve"> P.Plinte</w:t>
      </w:r>
    </w:p>
    <w:p w:rsidR="003B755C" w:rsidRPr="00191355" w:rsidRDefault="003B755C" w:rsidP="007D7828">
      <w:pPr>
        <w:ind w:right="-213"/>
        <w:jc w:val="both"/>
        <w:rPr>
          <w:b/>
          <w:sz w:val="22"/>
          <w:szCs w:val="22"/>
          <w:u w:val="single"/>
        </w:rPr>
      </w:pPr>
    </w:p>
    <w:p w:rsidR="003B755C" w:rsidRPr="00191355" w:rsidRDefault="003B755C" w:rsidP="007D7828">
      <w:pPr>
        <w:ind w:right="-213"/>
        <w:jc w:val="both"/>
        <w:rPr>
          <w:b/>
          <w:sz w:val="22"/>
          <w:szCs w:val="22"/>
        </w:rPr>
      </w:pPr>
      <w:r w:rsidRPr="00191355">
        <w:rPr>
          <w:b/>
          <w:sz w:val="22"/>
          <w:szCs w:val="22"/>
          <w:u w:val="single"/>
        </w:rPr>
        <w:t>Darba kārtība</w:t>
      </w:r>
      <w:r w:rsidRPr="00191355">
        <w:rPr>
          <w:b/>
          <w:sz w:val="22"/>
          <w:szCs w:val="22"/>
        </w:rPr>
        <w:t>:</w:t>
      </w:r>
    </w:p>
    <w:p w:rsidR="003B755C" w:rsidRPr="00191355" w:rsidRDefault="003B755C" w:rsidP="00952DF2">
      <w:pPr>
        <w:numPr>
          <w:ilvl w:val="0"/>
          <w:numId w:val="1"/>
        </w:numPr>
        <w:ind w:right="-335"/>
        <w:jc w:val="both"/>
        <w:rPr>
          <w:sz w:val="22"/>
          <w:szCs w:val="22"/>
        </w:rPr>
      </w:pPr>
      <w:r w:rsidRPr="00191355">
        <w:rPr>
          <w:sz w:val="22"/>
          <w:szCs w:val="22"/>
        </w:rPr>
        <w:t>Pretendentu iesniegto piedāvājumu organizētajā iepirkumā ar ID Nr. 8</w:t>
      </w:r>
      <w:r w:rsidRPr="00191355">
        <w:rPr>
          <w:sz w:val="22"/>
          <w:szCs w:val="22"/>
          <w:vertAlign w:val="superscript"/>
        </w:rPr>
        <w:t xml:space="preserve">2 </w:t>
      </w:r>
      <w:r w:rsidRPr="00191355">
        <w:rPr>
          <w:sz w:val="22"/>
          <w:szCs w:val="22"/>
        </w:rPr>
        <w:t>PI-JU-04/2014</w:t>
      </w:r>
      <w:r w:rsidRPr="00191355">
        <w:rPr>
          <w:b/>
          <w:sz w:val="22"/>
          <w:szCs w:val="22"/>
        </w:rPr>
        <w:t xml:space="preserve"> </w:t>
      </w:r>
      <w:r w:rsidRPr="00191355">
        <w:rPr>
          <w:sz w:val="22"/>
          <w:szCs w:val="22"/>
        </w:rPr>
        <w:t xml:space="preserve">„Par tiesībām veikt </w:t>
      </w:r>
      <w:r w:rsidRPr="00191355">
        <w:rPr>
          <w:bCs/>
        </w:rPr>
        <w:t>Nometņu ielas rajona grāvja uzturēšanas darbus</w:t>
      </w:r>
      <w:r w:rsidRPr="00191355">
        <w:rPr>
          <w:sz w:val="22"/>
          <w:szCs w:val="22"/>
        </w:rPr>
        <w:t>, Jūrmalā saskaņā ar līguma noteikumiem” vērtēšana</w:t>
      </w:r>
      <w:r>
        <w:rPr>
          <w:sz w:val="22"/>
          <w:szCs w:val="22"/>
        </w:rPr>
        <w:t xml:space="preserve"> un l</w:t>
      </w:r>
      <w:r w:rsidRPr="00191355">
        <w:rPr>
          <w:sz w:val="22"/>
          <w:szCs w:val="22"/>
        </w:rPr>
        <w:t>ēmuma pieņemšana izsludinātās iepirkuma procedūras ietvaros.</w:t>
      </w:r>
      <w:bookmarkStart w:id="8" w:name="OLE_LINK1"/>
      <w:bookmarkStart w:id="9" w:name="OLE_LINK2"/>
    </w:p>
    <w:p w:rsidR="003B755C" w:rsidRPr="00191355" w:rsidRDefault="003B755C" w:rsidP="002B41AA">
      <w:pPr>
        <w:ind w:left="180" w:right="-335"/>
        <w:jc w:val="both"/>
        <w:rPr>
          <w:sz w:val="22"/>
          <w:szCs w:val="22"/>
        </w:rPr>
      </w:pPr>
    </w:p>
    <w:p w:rsidR="003B755C" w:rsidRPr="00191355" w:rsidRDefault="003B755C" w:rsidP="002B41AA">
      <w:pPr>
        <w:ind w:left="180" w:right="-335"/>
        <w:jc w:val="both"/>
        <w:rPr>
          <w:b/>
          <w:sz w:val="22"/>
          <w:szCs w:val="22"/>
        </w:rPr>
      </w:pPr>
      <w:r w:rsidRPr="00191355">
        <w:rPr>
          <w:b/>
          <w:sz w:val="22"/>
          <w:szCs w:val="22"/>
        </w:rPr>
        <w:t>1. Pretendentu iesniegto piedāvājumu organizētajā iepirkumā ar ID Nr. 8/</w:t>
      </w:r>
      <w:r w:rsidRPr="00191355">
        <w:rPr>
          <w:b/>
          <w:sz w:val="14"/>
          <w:szCs w:val="22"/>
        </w:rPr>
        <w:t>2</w:t>
      </w:r>
      <w:r w:rsidRPr="00191355">
        <w:rPr>
          <w:b/>
          <w:sz w:val="22"/>
          <w:szCs w:val="22"/>
        </w:rPr>
        <w:t>PI-JU-04/2014 „</w:t>
      </w:r>
      <w:r w:rsidRPr="00191355">
        <w:rPr>
          <w:b/>
          <w:bCs/>
        </w:rPr>
        <w:t>Par tiesībām  veikt Nometņu ielas rajona grāvja uzturēšanas darbus, Jūrmalā saskaņā ar līguma noteikumiem</w:t>
      </w:r>
      <w:r w:rsidRPr="00191355">
        <w:rPr>
          <w:b/>
          <w:sz w:val="22"/>
          <w:szCs w:val="22"/>
        </w:rPr>
        <w:t xml:space="preserve">” vērtēšana un lēmuma pieņemšana izsludinātās iepirkuma procedūras ietvaros.  </w:t>
      </w:r>
    </w:p>
    <w:p w:rsidR="003B755C" w:rsidRPr="00191355" w:rsidRDefault="003B755C" w:rsidP="007D7828">
      <w:pPr>
        <w:ind w:right="-335"/>
        <w:jc w:val="both"/>
        <w:rPr>
          <w:sz w:val="22"/>
          <w:szCs w:val="22"/>
        </w:rPr>
      </w:pPr>
    </w:p>
    <w:p w:rsidR="003B755C" w:rsidRPr="00191355" w:rsidRDefault="003B755C" w:rsidP="007D7828">
      <w:pPr>
        <w:ind w:right="-335"/>
        <w:jc w:val="both"/>
        <w:rPr>
          <w:sz w:val="22"/>
          <w:szCs w:val="22"/>
        </w:rPr>
      </w:pPr>
      <w:r w:rsidRPr="00191355">
        <w:rPr>
          <w:sz w:val="22"/>
          <w:szCs w:val="22"/>
        </w:rPr>
        <w:t>Piedāvājumu vērtēšanas procedūru vada komisijas priekšsēdētājs P.Plinte.</w:t>
      </w:r>
    </w:p>
    <w:p w:rsidR="003B755C" w:rsidRPr="00191355" w:rsidRDefault="003B755C" w:rsidP="00D425D2">
      <w:pPr>
        <w:tabs>
          <w:tab w:val="right" w:pos="9000"/>
        </w:tabs>
        <w:ind w:right="-33"/>
        <w:jc w:val="both"/>
        <w:rPr>
          <w:sz w:val="22"/>
          <w:szCs w:val="22"/>
        </w:rPr>
      </w:pPr>
      <w:r w:rsidRPr="00191355">
        <w:rPr>
          <w:sz w:val="22"/>
          <w:szCs w:val="22"/>
        </w:rPr>
        <w:t xml:space="preserve">Tiek nolasīts komisijas sastāvs un sniegta informācija par pretendentiem, kas iesnieguši piedāvājumus un piedalījušies piedāvājumu atvēršanā, kas notika Jūrmalā, Promenādes ielā 1a 16.kabinetā 2014.gada 21.jūlijā plkst. 9:00. </w:t>
      </w:r>
    </w:p>
    <w:p w:rsidR="003B755C" w:rsidRPr="00191355" w:rsidRDefault="003B755C" w:rsidP="007D7828">
      <w:pPr>
        <w:tabs>
          <w:tab w:val="left" w:pos="5670"/>
          <w:tab w:val="left" w:pos="7371"/>
        </w:tabs>
        <w:ind w:right="-289"/>
        <w:jc w:val="both"/>
        <w:rPr>
          <w:sz w:val="22"/>
          <w:szCs w:val="22"/>
        </w:rPr>
      </w:pPr>
    </w:p>
    <w:p w:rsidR="003B755C" w:rsidRPr="00191355" w:rsidRDefault="003B755C" w:rsidP="007D7828">
      <w:pPr>
        <w:tabs>
          <w:tab w:val="left" w:pos="5670"/>
          <w:tab w:val="left" w:pos="7371"/>
        </w:tabs>
        <w:ind w:right="-289"/>
        <w:jc w:val="both"/>
        <w:rPr>
          <w:sz w:val="22"/>
          <w:szCs w:val="22"/>
        </w:rPr>
      </w:pPr>
      <w:r w:rsidRPr="00191355">
        <w:rPr>
          <w:sz w:val="22"/>
          <w:szCs w:val="22"/>
        </w:rPr>
        <w:t xml:space="preserve">Komisijas priekšsēdētājs informē, ka piedāvājumu atvēršanas sapulces gaita netika protokolēta, jo Publisko iepirkumu likums attiecīgās iepirkuma procedūras ietvaros šāda dokumenta sagatavošanu minētajā procesā nepieprasa. Piedāvājumu atvēršanā piedāvājumus iesniegušie pretendenti nepiedalījās. Pēc piedāvājumu atvēršanas un finanšu piedāvājumu nolasīšanas katrs iepirkuma komisijas loceklis parakstīja apliecinājumu, ka neatrodas interešu konfliktā un nav ietekmēts </w:t>
      </w:r>
      <w:r w:rsidRPr="00191355">
        <w:rPr>
          <w:i/>
          <w:sz w:val="22"/>
          <w:szCs w:val="22"/>
        </w:rPr>
        <w:t>(1.pielikums)</w:t>
      </w:r>
      <w:r w:rsidRPr="00191355">
        <w:rPr>
          <w:sz w:val="22"/>
          <w:szCs w:val="22"/>
        </w:rPr>
        <w:t>, kas tiek pievienoti sēdes protokolam.</w:t>
      </w:r>
    </w:p>
    <w:p w:rsidR="003B755C" w:rsidRPr="00191355" w:rsidRDefault="003B755C" w:rsidP="007D7828">
      <w:pPr>
        <w:tabs>
          <w:tab w:val="left" w:pos="5670"/>
          <w:tab w:val="left" w:pos="7371"/>
        </w:tabs>
        <w:ind w:right="-289"/>
        <w:jc w:val="both"/>
        <w:rPr>
          <w:sz w:val="22"/>
          <w:szCs w:val="22"/>
        </w:rPr>
      </w:pPr>
    </w:p>
    <w:p w:rsidR="003B755C" w:rsidRPr="00191355" w:rsidRDefault="003B755C" w:rsidP="007D7828">
      <w:pPr>
        <w:tabs>
          <w:tab w:val="left" w:pos="5670"/>
          <w:tab w:val="left" w:pos="7371"/>
        </w:tabs>
        <w:ind w:right="-289"/>
        <w:jc w:val="both"/>
        <w:rPr>
          <w:sz w:val="22"/>
          <w:szCs w:val="22"/>
        </w:rPr>
      </w:pPr>
      <w:r w:rsidRPr="00191355">
        <w:rPr>
          <w:sz w:val="22"/>
          <w:szCs w:val="22"/>
        </w:rPr>
        <w:t>Komisijas priekšsēdētājs ziņo:</w:t>
      </w:r>
    </w:p>
    <w:p w:rsidR="003B755C" w:rsidRDefault="003B755C" w:rsidP="007D7828">
      <w:pPr>
        <w:numPr>
          <w:ilvl w:val="12"/>
          <w:numId w:val="0"/>
        </w:numPr>
        <w:ind w:right="71"/>
        <w:jc w:val="both"/>
        <w:rPr>
          <w:sz w:val="22"/>
          <w:szCs w:val="22"/>
        </w:rPr>
      </w:pPr>
      <w:r w:rsidRPr="00191355">
        <w:rPr>
          <w:sz w:val="22"/>
          <w:szCs w:val="22"/>
        </w:rPr>
        <w:t xml:space="preserve">Piedāvājumus iepirkumam ir iesnieguši seši pretendenti – </w:t>
      </w:r>
    </w:p>
    <w:p w:rsidR="003B755C" w:rsidRDefault="003B755C" w:rsidP="00B21465">
      <w:pPr>
        <w:numPr>
          <w:ilvl w:val="0"/>
          <w:numId w:val="6"/>
        </w:numPr>
        <w:ind w:right="71"/>
        <w:jc w:val="both"/>
        <w:rPr>
          <w:sz w:val="22"/>
          <w:szCs w:val="22"/>
        </w:rPr>
      </w:pPr>
      <w:r w:rsidRPr="00191355">
        <w:rPr>
          <w:sz w:val="22"/>
          <w:szCs w:val="22"/>
        </w:rPr>
        <w:t>SIA „SALI BŪVTRANS” 2014.gada 18.jūlijā</w:t>
      </w:r>
      <w:r>
        <w:rPr>
          <w:sz w:val="22"/>
          <w:szCs w:val="22"/>
        </w:rPr>
        <w:t>;</w:t>
      </w:r>
    </w:p>
    <w:p w:rsidR="003B755C" w:rsidRDefault="003B755C" w:rsidP="00B21465">
      <w:pPr>
        <w:numPr>
          <w:ilvl w:val="0"/>
          <w:numId w:val="6"/>
        </w:numPr>
        <w:ind w:right="71"/>
        <w:jc w:val="both"/>
        <w:rPr>
          <w:sz w:val="22"/>
          <w:szCs w:val="22"/>
        </w:rPr>
      </w:pPr>
      <w:r w:rsidRPr="00191355">
        <w:rPr>
          <w:sz w:val="22"/>
          <w:szCs w:val="22"/>
        </w:rPr>
        <w:t xml:space="preserve">SIA „BAUSKAS MELIORĀCIJA” 2014.gada 21.jūlijā, </w:t>
      </w:r>
    </w:p>
    <w:p w:rsidR="003B755C" w:rsidRDefault="003B755C" w:rsidP="00B21465">
      <w:pPr>
        <w:numPr>
          <w:ilvl w:val="0"/>
          <w:numId w:val="6"/>
        </w:numPr>
        <w:ind w:right="71"/>
        <w:jc w:val="both"/>
        <w:rPr>
          <w:sz w:val="22"/>
          <w:szCs w:val="22"/>
        </w:rPr>
      </w:pPr>
      <w:r w:rsidRPr="00191355">
        <w:rPr>
          <w:sz w:val="22"/>
          <w:szCs w:val="22"/>
        </w:rPr>
        <w:t xml:space="preserve">SIA „ME” 2014.gada 21.jūlijā, </w:t>
      </w:r>
    </w:p>
    <w:p w:rsidR="003B755C" w:rsidRDefault="003B755C" w:rsidP="00B21465">
      <w:pPr>
        <w:numPr>
          <w:ilvl w:val="0"/>
          <w:numId w:val="6"/>
        </w:numPr>
        <w:ind w:right="71"/>
        <w:jc w:val="both"/>
        <w:rPr>
          <w:sz w:val="22"/>
          <w:szCs w:val="22"/>
        </w:rPr>
      </w:pPr>
      <w:r w:rsidRPr="00191355">
        <w:rPr>
          <w:sz w:val="22"/>
          <w:szCs w:val="22"/>
        </w:rPr>
        <w:t xml:space="preserve">SIA „GRUNTERS” 2014.gada 21.jūlijā, </w:t>
      </w:r>
    </w:p>
    <w:p w:rsidR="003B755C" w:rsidRDefault="003B755C" w:rsidP="00B21465">
      <w:pPr>
        <w:numPr>
          <w:ilvl w:val="0"/>
          <w:numId w:val="6"/>
        </w:numPr>
        <w:ind w:right="71"/>
        <w:jc w:val="both"/>
        <w:rPr>
          <w:sz w:val="22"/>
          <w:szCs w:val="22"/>
        </w:rPr>
      </w:pPr>
      <w:r w:rsidRPr="00191355">
        <w:rPr>
          <w:sz w:val="22"/>
          <w:szCs w:val="22"/>
        </w:rPr>
        <w:t xml:space="preserve">SIA </w:t>
      </w:r>
      <w:r>
        <w:rPr>
          <w:sz w:val="22"/>
          <w:szCs w:val="22"/>
        </w:rPr>
        <w:t>„MEŽGAĻI” 2014.gada 21.jūlijā,</w:t>
      </w:r>
    </w:p>
    <w:p w:rsidR="003B755C" w:rsidRDefault="003B755C" w:rsidP="00B21465">
      <w:pPr>
        <w:numPr>
          <w:ilvl w:val="0"/>
          <w:numId w:val="6"/>
        </w:numPr>
        <w:ind w:right="71"/>
        <w:jc w:val="both"/>
        <w:rPr>
          <w:sz w:val="22"/>
          <w:szCs w:val="22"/>
        </w:rPr>
      </w:pPr>
      <w:r w:rsidRPr="00191355">
        <w:rPr>
          <w:sz w:val="22"/>
          <w:szCs w:val="22"/>
        </w:rPr>
        <w:t xml:space="preserve"> SIA „RE FORT ” 2014.gada 21.jūlijā</w:t>
      </w:r>
      <w:r>
        <w:rPr>
          <w:sz w:val="22"/>
          <w:szCs w:val="22"/>
        </w:rPr>
        <w:t>.</w:t>
      </w:r>
    </w:p>
    <w:p w:rsidR="003B755C" w:rsidRPr="00657D69" w:rsidRDefault="003B755C" w:rsidP="00B21465">
      <w:pPr>
        <w:ind w:left="360" w:right="71"/>
        <w:jc w:val="both"/>
        <w:rPr>
          <w:sz w:val="22"/>
          <w:szCs w:val="22"/>
        </w:rPr>
      </w:pPr>
      <w:r>
        <w:rPr>
          <w:sz w:val="22"/>
          <w:szCs w:val="22"/>
        </w:rPr>
        <w:t>Par pretendentu piedāvājumu iesniegšanas faktu</w:t>
      </w:r>
      <w:r w:rsidRPr="00191355">
        <w:rPr>
          <w:sz w:val="22"/>
          <w:szCs w:val="22"/>
        </w:rPr>
        <w:t xml:space="preserve"> tika veikta</w:t>
      </w:r>
      <w:r>
        <w:rPr>
          <w:sz w:val="22"/>
          <w:szCs w:val="22"/>
        </w:rPr>
        <w:t xml:space="preserve"> atzīme uz pretendenta iesniegtās piedāvājuma aploksnes, kā arī ierīkota atsevišķa pretendentu reģistrācijas lapa, kurā katrs piedāvājumu iesniegušais pretendents parakstījās par piedāvājuma iesniegšanas faktu </w:t>
      </w:r>
      <w:r w:rsidRPr="0053144A">
        <w:rPr>
          <w:i/>
          <w:sz w:val="22"/>
          <w:szCs w:val="22"/>
        </w:rPr>
        <w:t>(2.pielikums)</w:t>
      </w:r>
      <w:r>
        <w:rPr>
          <w:sz w:val="22"/>
          <w:szCs w:val="22"/>
        </w:rPr>
        <w:t xml:space="preserve">. </w:t>
      </w:r>
      <w:r w:rsidRPr="00657D69">
        <w:rPr>
          <w:sz w:val="22"/>
          <w:szCs w:val="22"/>
        </w:rPr>
        <w:t xml:space="preserve"> </w:t>
      </w:r>
    </w:p>
    <w:p w:rsidR="003B755C" w:rsidRPr="00657D69"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Default="003B755C" w:rsidP="007D7828">
      <w:pPr>
        <w:pStyle w:val="BodyText2"/>
        <w:numPr>
          <w:ilvl w:val="12"/>
          <w:numId w:val="0"/>
        </w:numPr>
        <w:spacing w:line="240" w:lineRule="auto"/>
        <w:ind w:right="-393"/>
        <w:rPr>
          <w:szCs w:val="22"/>
        </w:rPr>
      </w:pPr>
    </w:p>
    <w:p w:rsidR="003B755C" w:rsidRPr="00657D69" w:rsidRDefault="003B755C" w:rsidP="007D7828">
      <w:pPr>
        <w:pStyle w:val="BodyText2"/>
        <w:numPr>
          <w:ilvl w:val="12"/>
          <w:numId w:val="0"/>
        </w:numPr>
        <w:spacing w:line="240" w:lineRule="auto"/>
        <w:ind w:right="-393"/>
        <w:rPr>
          <w:szCs w:val="22"/>
        </w:rPr>
      </w:pPr>
      <w:r>
        <w:rPr>
          <w:szCs w:val="22"/>
        </w:rPr>
        <w:t>Pretendentu finanšu piedāvājumi</w:t>
      </w:r>
      <w:r w:rsidRPr="00657D69">
        <w:rPr>
          <w:szCs w:val="22"/>
        </w:rPr>
        <w:t>:</w:t>
      </w:r>
      <w:r>
        <w:rPr>
          <w:szCs w:val="22"/>
        </w:rPr>
        <w:t xml:space="preserve">     </w:t>
      </w:r>
    </w:p>
    <w:p w:rsidR="003B755C" w:rsidRPr="00657D69" w:rsidRDefault="003B755C" w:rsidP="007D7828">
      <w:pPr>
        <w:pStyle w:val="BodyText2"/>
        <w:numPr>
          <w:ilvl w:val="12"/>
          <w:numId w:val="0"/>
        </w:numPr>
        <w:spacing w:line="240" w:lineRule="auto"/>
        <w:ind w:right="-393"/>
        <w:rPr>
          <w:szCs w:val="22"/>
        </w:rPr>
      </w:pPr>
    </w:p>
    <w:tbl>
      <w:tblPr>
        <w:tblW w:w="8228" w:type="dxa"/>
        <w:jc w:val="center"/>
        <w:tblInd w:w="-2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934"/>
        <w:gridCol w:w="2674"/>
      </w:tblGrid>
      <w:tr w:rsidR="003B755C" w:rsidRPr="00683A00" w:rsidTr="00683A00">
        <w:trPr>
          <w:trHeight w:val="501"/>
          <w:jc w:val="center"/>
        </w:trPr>
        <w:tc>
          <w:tcPr>
            <w:tcW w:w="1620" w:type="dxa"/>
            <w:vAlign w:val="center"/>
          </w:tcPr>
          <w:p w:rsidR="003B755C" w:rsidRPr="00191355" w:rsidRDefault="003B755C" w:rsidP="00683A00">
            <w:pPr>
              <w:overflowPunct w:val="0"/>
              <w:autoSpaceDE w:val="0"/>
              <w:autoSpaceDN w:val="0"/>
              <w:adjustRightInd w:val="0"/>
              <w:ind w:left="-52" w:right="-288"/>
              <w:jc w:val="center"/>
              <w:textAlignment w:val="baseline"/>
              <w:rPr>
                <w:b/>
              </w:rPr>
            </w:pPr>
            <w:r w:rsidRPr="00191355">
              <w:rPr>
                <w:b/>
                <w:sz w:val="22"/>
                <w:szCs w:val="22"/>
              </w:rPr>
              <w:t>Nr.</w:t>
            </w:r>
          </w:p>
        </w:tc>
        <w:tc>
          <w:tcPr>
            <w:tcW w:w="3934" w:type="dxa"/>
            <w:vAlign w:val="center"/>
          </w:tcPr>
          <w:p w:rsidR="003B755C" w:rsidRPr="00191355" w:rsidRDefault="003B755C" w:rsidP="00683A00">
            <w:pPr>
              <w:overflowPunct w:val="0"/>
              <w:autoSpaceDE w:val="0"/>
              <w:autoSpaceDN w:val="0"/>
              <w:adjustRightInd w:val="0"/>
              <w:ind w:right="-108"/>
              <w:jc w:val="center"/>
              <w:textAlignment w:val="baseline"/>
              <w:rPr>
                <w:b/>
              </w:rPr>
            </w:pPr>
            <w:r w:rsidRPr="00191355">
              <w:rPr>
                <w:b/>
                <w:bCs/>
                <w:sz w:val="22"/>
                <w:szCs w:val="22"/>
              </w:rPr>
              <w:t>Pretendenta nosaukums</w:t>
            </w:r>
          </w:p>
        </w:tc>
        <w:tc>
          <w:tcPr>
            <w:tcW w:w="2674" w:type="dxa"/>
          </w:tcPr>
          <w:p w:rsidR="003B755C" w:rsidRPr="00191355" w:rsidRDefault="003B755C" w:rsidP="00683A00">
            <w:pPr>
              <w:overflowPunct w:val="0"/>
              <w:autoSpaceDE w:val="0"/>
              <w:autoSpaceDN w:val="0"/>
              <w:adjustRightInd w:val="0"/>
              <w:ind w:left="-108" w:right="-108"/>
              <w:jc w:val="center"/>
              <w:textAlignment w:val="baseline"/>
              <w:rPr>
                <w:b/>
              </w:rPr>
            </w:pPr>
            <w:r w:rsidRPr="00191355">
              <w:rPr>
                <w:b/>
                <w:sz w:val="22"/>
                <w:szCs w:val="22"/>
              </w:rPr>
              <w:t xml:space="preserve">Pretendenta piedāvātā kopējā līgumcena </w:t>
            </w:r>
          </w:p>
          <w:p w:rsidR="003B755C" w:rsidRPr="00191355" w:rsidRDefault="003B755C" w:rsidP="00683A00">
            <w:pPr>
              <w:overflowPunct w:val="0"/>
              <w:autoSpaceDE w:val="0"/>
              <w:autoSpaceDN w:val="0"/>
              <w:adjustRightInd w:val="0"/>
              <w:ind w:left="-108" w:right="-108"/>
              <w:jc w:val="center"/>
              <w:textAlignment w:val="baseline"/>
              <w:rPr>
                <w:b/>
              </w:rPr>
            </w:pPr>
            <w:r w:rsidRPr="00191355">
              <w:rPr>
                <w:b/>
                <w:sz w:val="22"/>
                <w:szCs w:val="22"/>
              </w:rPr>
              <w:t xml:space="preserve"> (bez PVN)</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1</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„MEŽGAĻI”</w:t>
            </w:r>
          </w:p>
        </w:tc>
        <w:tc>
          <w:tcPr>
            <w:tcW w:w="2674" w:type="dxa"/>
            <w:vAlign w:val="center"/>
          </w:tcPr>
          <w:p w:rsidR="003B755C" w:rsidRPr="00191355" w:rsidRDefault="003B755C" w:rsidP="00B30C6E">
            <w:pPr>
              <w:overflowPunct w:val="0"/>
              <w:autoSpaceDE w:val="0"/>
              <w:autoSpaceDN w:val="0"/>
              <w:adjustRightInd w:val="0"/>
              <w:ind w:left="-108" w:right="-108"/>
              <w:jc w:val="center"/>
              <w:textAlignment w:val="baseline"/>
            </w:pPr>
            <w:r w:rsidRPr="00191355">
              <w:rPr>
                <w:szCs w:val="22"/>
              </w:rPr>
              <w:t>57 461.02</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2</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„RE FORT”</w:t>
            </w:r>
          </w:p>
        </w:tc>
        <w:tc>
          <w:tcPr>
            <w:tcW w:w="2674" w:type="dxa"/>
            <w:vAlign w:val="center"/>
          </w:tcPr>
          <w:p w:rsidR="003B755C" w:rsidRPr="00191355" w:rsidRDefault="003B755C" w:rsidP="00B30C6E">
            <w:pPr>
              <w:overflowPunct w:val="0"/>
              <w:autoSpaceDE w:val="0"/>
              <w:autoSpaceDN w:val="0"/>
              <w:adjustRightInd w:val="0"/>
              <w:ind w:left="-108" w:right="-108"/>
              <w:jc w:val="center"/>
              <w:textAlignment w:val="baseline"/>
              <w:rPr>
                <w:color w:val="FF0000"/>
              </w:rPr>
            </w:pPr>
            <w:r w:rsidRPr="00191355">
              <w:rPr>
                <w:szCs w:val="22"/>
              </w:rPr>
              <w:t>61 017.62</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3</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„SALI BŪVTRANS”</w:t>
            </w:r>
          </w:p>
        </w:tc>
        <w:tc>
          <w:tcPr>
            <w:tcW w:w="2674" w:type="dxa"/>
            <w:vAlign w:val="center"/>
          </w:tcPr>
          <w:p w:rsidR="003B755C" w:rsidRPr="00191355" w:rsidRDefault="003B755C" w:rsidP="00B30C6E">
            <w:pPr>
              <w:overflowPunct w:val="0"/>
              <w:autoSpaceDE w:val="0"/>
              <w:autoSpaceDN w:val="0"/>
              <w:adjustRightInd w:val="0"/>
              <w:ind w:left="-108" w:right="-108"/>
              <w:textAlignment w:val="baseline"/>
              <w:rPr>
                <w:color w:val="000000"/>
              </w:rPr>
            </w:pPr>
            <w:r w:rsidRPr="00191355">
              <w:rPr>
                <w:szCs w:val="22"/>
              </w:rPr>
              <w:t xml:space="preserve">              65 987.05</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4</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„GRUNTERS”</w:t>
            </w:r>
          </w:p>
        </w:tc>
        <w:tc>
          <w:tcPr>
            <w:tcW w:w="2674" w:type="dxa"/>
            <w:vAlign w:val="center"/>
          </w:tcPr>
          <w:p w:rsidR="003B755C" w:rsidRPr="00191355" w:rsidRDefault="003B755C" w:rsidP="00B30C6E">
            <w:pPr>
              <w:overflowPunct w:val="0"/>
              <w:autoSpaceDE w:val="0"/>
              <w:autoSpaceDN w:val="0"/>
              <w:adjustRightInd w:val="0"/>
              <w:ind w:left="-108" w:right="-108"/>
              <w:jc w:val="center"/>
              <w:textAlignment w:val="baseline"/>
            </w:pPr>
            <w:r w:rsidRPr="00191355">
              <w:rPr>
                <w:szCs w:val="22"/>
              </w:rPr>
              <w:t>69 217.28</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5</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„ME”</w:t>
            </w:r>
          </w:p>
        </w:tc>
        <w:tc>
          <w:tcPr>
            <w:tcW w:w="2674" w:type="dxa"/>
            <w:vAlign w:val="center"/>
          </w:tcPr>
          <w:p w:rsidR="003B755C" w:rsidRPr="00191355" w:rsidRDefault="003B755C" w:rsidP="00B30C6E">
            <w:pPr>
              <w:overflowPunct w:val="0"/>
              <w:autoSpaceDE w:val="0"/>
              <w:autoSpaceDN w:val="0"/>
              <w:adjustRightInd w:val="0"/>
              <w:ind w:left="-108" w:right="-108"/>
              <w:jc w:val="center"/>
              <w:textAlignment w:val="baseline"/>
              <w:rPr>
                <w:color w:val="FF0000"/>
              </w:rPr>
            </w:pPr>
            <w:r w:rsidRPr="00191355">
              <w:rPr>
                <w:szCs w:val="22"/>
              </w:rPr>
              <w:t>72 132.13</w:t>
            </w:r>
          </w:p>
        </w:tc>
      </w:tr>
      <w:tr w:rsidR="003B755C" w:rsidRPr="00E80E8A" w:rsidTr="00DA3E10">
        <w:trPr>
          <w:trHeight w:val="501"/>
          <w:jc w:val="center"/>
        </w:trPr>
        <w:tc>
          <w:tcPr>
            <w:tcW w:w="1620" w:type="dxa"/>
            <w:vAlign w:val="center"/>
          </w:tcPr>
          <w:p w:rsidR="003B755C" w:rsidRPr="00191355" w:rsidRDefault="003B755C" w:rsidP="00DA3E10">
            <w:pPr>
              <w:overflowPunct w:val="0"/>
              <w:autoSpaceDE w:val="0"/>
              <w:autoSpaceDN w:val="0"/>
              <w:adjustRightInd w:val="0"/>
              <w:ind w:left="-52" w:right="-288"/>
              <w:jc w:val="center"/>
              <w:textAlignment w:val="baseline"/>
            </w:pPr>
            <w:r>
              <w:rPr>
                <w:sz w:val="22"/>
                <w:szCs w:val="22"/>
              </w:rPr>
              <w:t>6</w:t>
            </w:r>
          </w:p>
        </w:tc>
        <w:tc>
          <w:tcPr>
            <w:tcW w:w="3934" w:type="dxa"/>
            <w:vAlign w:val="center"/>
          </w:tcPr>
          <w:p w:rsidR="003B755C" w:rsidRPr="00191355" w:rsidRDefault="003B755C" w:rsidP="00B30C6E">
            <w:pPr>
              <w:overflowPunct w:val="0"/>
              <w:autoSpaceDE w:val="0"/>
              <w:autoSpaceDN w:val="0"/>
              <w:adjustRightInd w:val="0"/>
              <w:jc w:val="center"/>
              <w:textAlignment w:val="baseline"/>
            </w:pPr>
            <w:r w:rsidRPr="00191355">
              <w:rPr>
                <w:sz w:val="22"/>
                <w:szCs w:val="22"/>
              </w:rPr>
              <w:t>SIA „BAUSKAS MELIORĀCIJA”</w:t>
            </w:r>
          </w:p>
        </w:tc>
        <w:tc>
          <w:tcPr>
            <w:tcW w:w="2674" w:type="dxa"/>
            <w:vAlign w:val="center"/>
          </w:tcPr>
          <w:p w:rsidR="003B755C" w:rsidRPr="00191355" w:rsidRDefault="003B755C" w:rsidP="00B30C6E">
            <w:pPr>
              <w:overflowPunct w:val="0"/>
              <w:autoSpaceDE w:val="0"/>
              <w:autoSpaceDN w:val="0"/>
              <w:adjustRightInd w:val="0"/>
              <w:ind w:left="-108" w:right="-108"/>
              <w:jc w:val="center"/>
              <w:textAlignment w:val="baseline"/>
              <w:rPr>
                <w:color w:val="FF0000"/>
              </w:rPr>
            </w:pPr>
            <w:r w:rsidRPr="00191355">
              <w:rPr>
                <w:szCs w:val="22"/>
              </w:rPr>
              <w:t>80 546.01</w:t>
            </w:r>
          </w:p>
        </w:tc>
      </w:tr>
    </w:tbl>
    <w:p w:rsidR="003B755C" w:rsidRPr="00657D69" w:rsidRDefault="003B755C" w:rsidP="007D7828">
      <w:pPr>
        <w:spacing w:before="120"/>
        <w:ind w:right="71"/>
        <w:jc w:val="both"/>
        <w:rPr>
          <w:sz w:val="22"/>
          <w:szCs w:val="22"/>
        </w:rPr>
      </w:pPr>
    </w:p>
    <w:p w:rsidR="003B755C" w:rsidRDefault="003B755C" w:rsidP="007D7828">
      <w:pPr>
        <w:ind w:right="74"/>
        <w:jc w:val="both"/>
        <w:rPr>
          <w:sz w:val="22"/>
          <w:szCs w:val="22"/>
        </w:rPr>
      </w:pPr>
      <w:r w:rsidRPr="00657D69">
        <w:rPr>
          <w:sz w:val="22"/>
          <w:szCs w:val="22"/>
        </w:rPr>
        <w:t>Komisijas priekšsēdētājs un komisijas locekļi uzsāk piedāvājum</w:t>
      </w:r>
      <w:r>
        <w:rPr>
          <w:sz w:val="22"/>
          <w:szCs w:val="22"/>
        </w:rPr>
        <w:t>u</w:t>
      </w:r>
      <w:r w:rsidRPr="00657D69">
        <w:rPr>
          <w:sz w:val="22"/>
          <w:szCs w:val="22"/>
        </w:rPr>
        <w:t xml:space="preserve"> </w:t>
      </w:r>
      <w:r>
        <w:rPr>
          <w:sz w:val="22"/>
          <w:szCs w:val="22"/>
        </w:rPr>
        <w:t>vērtēšanu, veicot piedāvājumu</w:t>
      </w:r>
      <w:r w:rsidRPr="00657D69">
        <w:rPr>
          <w:sz w:val="22"/>
          <w:szCs w:val="22"/>
        </w:rPr>
        <w:t xml:space="preserve"> atbilstības pārbaudi iepirkuma uzaicinājumā izvirzītajām prasībām</w:t>
      </w:r>
      <w:r>
        <w:rPr>
          <w:sz w:val="22"/>
          <w:szCs w:val="22"/>
        </w:rPr>
        <w:t xml:space="preserve"> (</w:t>
      </w:r>
      <w:r w:rsidRPr="0053144A">
        <w:rPr>
          <w:i/>
          <w:sz w:val="22"/>
          <w:szCs w:val="22"/>
        </w:rPr>
        <w:t>3.pielikums – iepirkumu komisijas locekļu individuālie vērtējumi)</w:t>
      </w:r>
      <w:r w:rsidRPr="00657D69">
        <w:rPr>
          <w:sz w:val="22"/>
          <w:szCs w:val="22"/>
        </w:rPr>
        <w:t xml:space="preserve">. </w:t>
      </w:r>
    </w:p>
    <w:p w:rsidR="003B755C" w:rsidRPr="00657D69" w:rsidRDefault="003B755C" w:rsidP="007D7828">
      <w:pPr>
        <w:ind w:right="71"/>
        <w:jc w:val="both"/>
        <w:rPr>
          <w:b/>
          <w:bCs/>
          <w:sz w:val="22"/>
          <w:szCs w:val="22"/>
          <w:u w:val="single"/>
        </w:rPr>
      </w:pPr>
    </w:p>
    <w:p w:rsidR="003B755C" w:rsidRPr="00094A81" w:rsidRDefault="003B755C" w:rsidP="001F4268">
      <w:pPr>
        <w:ind w:right="71"/>
        <w:jc w:val="both"/>
        <w:rPr>
          <w:b/>
          <w:bCs/>
          <w:sz w:val="22"/>
          <w:szCs w:val="22"/>
          <w:u w:val="single"/>
        </w:rPr>
      </w:pPr>
      <w:r w:rsidRPr="00094A81">
        <w:rPr>
          <w:bCs/>
          <w:sz w:val="22"/>
          <w:szCs w:val="22"/>
        </w:rPr>
        <w:t>Veicot pretendentu iesniegto piedāvājumu satura pārbaudi, un pretendentu atlases pārbaudi, saskaņā ar izvirzītajām prasībām iepirkuma procedūras dokumentācijā,</w:t>
      </w:r>
      <w:r>
        <w:rPr>
          <w:b/>
          <w:bCs/>
          <w:sz w:val="22"/>
          <w:szCs w:val="22"/>
          <w:u w:val="single"/>
        </w:rPr>
        <w:t xml:space="preserve"> </w:t>
      </w:r>
      <w:r w:rsidRPr="00657D69">
        <w:rPr>
          <w:b/>
          <w:bCs/>
          <w:sz w:val="22"/>
          <w:szCs w:val="22"/>
          <w:u w:val="single"/>
        </w:rPr>
        <w:t xml:space="preserve">Komisija </w:t>
      </w:r>
      <w:r>
        <w:rPr>
          <w:b/>
          <w:bCs/>
          <w:sz w:val="22"/>
          <w:szCs w:val="22"/>
          <w:u w:val="single"/>
        </w:rPr>
        <w:t xml:space="preserve">konstatē, ka </w:t>
      </w:r>
      <w:r w:rsidRPr="00094A81">
        <w:rPr>
          <w:b/>
          <w:bCs/>
          <w:sz w:val="22"/>
          <w:szCs w:val="22"/>
          <w:u w:val="single"/>
        </w:rPr>
        <w:t xml:space="preserve">pretendentu: </w:t>
      </w:r>
      <w:r w:rsidRPr="00094A81">
        <w:rPr>
          <w:b/>
          <w:sz w:val="22"/>
          <w:szCs w:val="22"/>
          <w:u w:val="single"/>
        </w:rPr>
        <w:t>SIA „MEŽGAĻI”, SIA „RE FORT” un SIA „ME”</w:t>
      </w:r>
      <w:r w:rsidRPr="00094A81">
        <w:rPr>
          <w:b/>
          <w:bCs/>
          <w:sz w:val="22"/>
          <w:szCs w:val="22"/>
          <w:u w:val="single"/>
        </w:rPr>
        <w:t xml:space="preserve"> iesniegtie piedāvājumi neatbilst iepirkuma uzaicinājumā izvirzītajām prasībām.</w:t>
      </w:r>
    </w:p>
    <w:p w:rsidR="003B755C" w:rsidRPr="00094A81" w:rsidRDefault="003B755C" w:rsidP="001F4268">
      <w:pPr>
        <w:ind w:right="71"/>
        <w:jc w:val="both"/>
        <w:rPr>
          <w:bCs/>
          <w:sz w:val="22"/>
          <w:szCs w:val="22"/>
        </w:rPr>
      </w:pPr>
    </w:p>
    <w:p w:rsidR="003B755C" w:rsidRDefault="003B755C" w:rsidP="001F4268">
      <w:pPr>
        <w:ind w:right="71"/>
        <w:jc w:val="both"/>
        <w:rPr>
          <w:bCs/>
          <w:sz w:val="22"/>
          <w:szCs w:val="22"/>
        </w:rPr>
      </w:pPr>
      <w:r w:rsidRPr="00094A81">
        <w:rPr>
          <w:bCs/>
          <w:sz w:val="22"/>
          <w:szCs w:val="22"/>
        </w:rPr>
        <w:t xml:space="preserve">Ievērojot konstatēto </w:t>
      </w:r>
      <w:r w:rsidRPr="00094A81">
        <w:rPr>
          <w:b/>
          <w:bCs/>
          <w:sz w:val="22"/>
          <w:szCs w:val="22"/>
          <w:u w:val="single"/>
        </w:rPr>
        <w:t xml:space="preserve">Komisijas locekļi nolemj izslēgt pretendentus: </w:t>
      </w:r>
      <w:r w:rsidRPr="00094A81">
        <w:rPr>
          <w:b/>
          <w:sz w:val="22"/>
          <w:szCs w:val="22"/>
          <w:u w:val="single"/>
        </w:rPr>
        <w:t>SIA „MEŽGAĻI”, SIA „RE FORT” un SIA „ME”</w:t>
      </w:r>
      <w:r w:rsidRPr="00094A81">
        <w:rPr>
          <w:b/>
          <w:bCs/>
          <w:sz w:val="22"/>
          <w:szCs w:val="22"/>
          <w:u w:val="single"/>
        </w:rPr>
        <w:t xml:space="preserve"> no turpmākās piedāvājumu vērtēšanas procedūras</w:t>
      </w:r>
      <w:r>
        <w:rPr>
          <w:bCs/>
          <w:sz w:val="22"/>
          <w:szCs w:val="22"/>
        </w:rPr>
        <w:t>, zemāk norādīto apstākļu dēļ:</w:t>
      </w:r>
    </w:p>
    <w:p w:rsidR="003B755C" w:rsidRDefault="003B755C" w:rsidP="003758DF">
      <w:pPr>
        <w:jc w:val="both"/>
        <w:rPr>
          <w:bCs/>
          <w:sz w:val="22"/>
          <w:szCs w:val="22"/>
        </w:rPr>
      </w:pPr>
      <w:r>
        <w:rPr>
          <w:bCs/>
          <w:sz w:val="22"/>
          <w:szCs w:val="22"/>
        </w:rPr>
        <w:t xml:space="preserve">       </w:t>
      </w:r>
    </w:p>
    <w:p w:rsidR="003B755C" w:rsidRPr="006D4F43" w:rsidRDefault="003B755C" w:rsidP="003758DF">
      <w:pPr>
        <w:jc w:val="both"/>
        <w:rPr>
          <w:szCs w:val="28"/>
        </w:rPr>
      </w:pPr>
      <w:r>
        <w:rPr>
          <w:bCs/>
          <w:sz w:val="22"/>
          <w:szCs w:val="22"/>
        </w:rPr>
        <w:t xml:space="preserve">         (1) </w:t>
      </w:r>
      <w:r w:rsidRPr="002D2B0B">
        <w:rPr>
          <w:u w:val="single"/>
        </w:rPr>
        <w:t xml:space="preserve">Pretendenta – </w:t>
      </w:r>
      <w:r w:rsidRPr="002D2B0B">
        <w:rPr>
          <w:b/>
          <w:u w:val="single"/>
        </w:rPr>
        <w:t>SIA „</w:t>
      </w:r>
      <w:r w:rsidRPr="002D2B0B">
        <w:rPr>
          <w:b/>
          <w:sz w:val="22"/>
          <w:szCs w:val="22"/>
          <w:u w:val="single"/>
        </w:rPr>
        <w:t xml:space="preserve">RE FORT </w:t>
      </w:r>
      <w:r w:rsidRPr="002D2B0B">
        <w:rPr>
          <w:b/>
          <w:u w:val="single"/>
        </w:rPr>
        <w:t>”</w:t>
      </w:r>
      <w:r w:rsidRPr="00094A81">
        <w:rPr>
          <w:b/>
        </w:rPr>
        <w:t>,</w:t>
      </w:r>
      <w:r w:rsidRPr="006D4F43">
        <w:t xml:space="preserve"> reģ.Nr.40103575718 iesniegtais piedāvājums neatbilst publiskās iepirkuma procedūras dokumentācijā izvirzītajām prasībām un konstatētās neatbilstības ir būtiskas, līdz ar to, tas ir izslēdzams no turpmākās vērtēšanas, zemāk norādīto trūkumu dēļ: </w:t>
      </w:r>
    </w:p>
    <w:p w:rsidR="003B755C" w:rsidRPr="006D4F43" w:rsidRDefault="003B755C" w:rsidP="006D4F43">
      <w:pPr>
        <w:jc w:val="both"/>
        <w:rPr>
          <w:szCs w:val="28"/>
        </w:rPr>
      </w:pPr>
      <w:r w:rsidRPr="006D4F43">
        <w:rPr>
          <w:szCs w:val="28"/>
        </w:rPr>
        <w:t xml:space="preserve">Pārbaudot pretendenta sniegtās ziņas par būvniecības jomām, kurās būvkomersants (pretendents) saskaņā ar būvniecības likuma 10 panta 2 daļu ir tiesīgs veikt komercdarbību, Latvijas  Republikas Ekonomikas ministrijas publiski pieejamā būvkomersanta reģistrā, tika konstatēts, ka pretendents ir tiesīgs veikt komercdarbību ceļu projektēšanā, ceļu būvdarbu vadīšanā un būvuzraudzībā. </w:t>
      </w:r>
    </w:p>
    <w:p w:rsidR="003B755C" w:rsidRPr="006D4F43" w:rsidRDefault="003B755C" w:rsidP="006D4F43">
      <w:pPr>
        <w:jc w:val="both"/>
        <w:rPr>
          <w:szCs w:val="28"/>
        </w:rPr>
      </w:pPr>
      <w:r w:rsidRPr="006D4F43">
        <w:rPr>
          <w:szCs w:val="28"/>
        </w:rPr>
        <w:t>Saskaņā ar būvkomersantu reģistrā esošo informāciju, pretendents, ievērojot Ministra kabineta noteikumus 799 būvniecības reģistra noteikumi 4. punkta 4.2. apakšpunktu, ir nodarbinājis atbildīgo speciālistu, kas ir sertificēts ceļu projektēšanā, būvdarbu vadīšanā un būvuzraudzības jomā.</w:t>
      </w:r>
    </w:p>
    <w:p w:rsidR="003B755C" w:rsidRPr="00094A81" w:rsidRDefault="003B755C" w:rsidP="006D4F43">
      <w:pPr>
        <w:jc w:val="both"/>
        <w:rPr>
          <w:b/>
          <w:szCs w:val="28"/>
        </w:rPr>
      </w:pPr>
      <w:r w:rsidRPr="006D4F43">
        <w:rPr>
          <w:szCs w:val="28"/>
        </w:rPr>
        <w:t xml:space="preserve">Līdz ar to ir secināms, ka </w:t>
      </w:r>
      <w:r w:rsidRPr="00094A81">
        <w:rPr>
          <w:b/>
          <w:szCs w:val="28"/>
        </w:rPr>
        <w:t>pretendents ir iesniedzis piedāvājumu par būvniecības jomu, kurā viņš nav tiesīgs izpildīt darbus, ievērojot būvniecības likuma 10 panta 2. daļu, jo būvkomersanta reģistrā pretendentam nav reģistrēts atbildīgais speciālists, kurš būtu saņēmis attiecīgu sertifikātu publisko iepirkumu līgumā paredzēto darbu izpildei.</w:t>
      </w:r>
    </w:p>
    <w:p w:rsidR="003B755C" w:rsidRPr="006D4F43" w:rsidRDefault="003B755C" w:rsidP="006D4F43">
      <w:pPr>
        <w:jc w:val="both"/>
        <w:rPr>
          <w:szCs w:val="28"/>
        </w:rPr>
      </w:pPr>
      <w:r w:rsidRPr="006D4F43">
        <w:rPr>
          <w:szCs w:val="28"/>
        </w:rPr>
        <w:t>Papildus jānorāda , ka pretendents nav iesniedzis dokumentus kas apstiprinātu pretendenta iesniegtās ziņas par tā pieredzi notekūdeņu izteku būvdarbu veikšanā. Proti pakalpojuma līgumus vai atsauksmes no pasūtītājiem.</w:t>
      </w:r>
    </w:p>
    <w:p w:rsidR="003B755C" w:rsidRPr="006D4F43" w:rsidRDefault="003B755C" w:rsidP="006D4F43">
      <w:pPr>
        <w:jc w:val="both"/>
        <w:rPr>
          <w:szCs w:val="28"/>
        </w:rPr>
      </w:pPr>
      <w:r w:rsidRPr="006D4F43">
        <w:rPr>
          <w:szCs w:val="28"/>
        </w:rPr>
        <w:lastRenderedPageBreak/>
        <w:t xml:space="preserve"> Pārbaudot pretendenta sniegto informāciju par Meliorācijas novadgrāvju rekonstrukcija, tīrīšana „Rīteņi”, Ķesterciems, Tukuma rajonā, sazvanoties ar Engures  novada domes vietnieku Andri Kalnozolu, tika konstatēts ,  ka minētos darbus veica pašvaldība.</w:t>
      </w:r>
    </w:p>
    <w:p w:rsidR="003B755C" w:rsidRPr="006D4F43" w:rsidRDefault="003B755C" w:rsidP="006D4F43">
      <w:pPr>
        <w:jc w:val="both"/>
        <w:rPr>
          <w:szCs w:val="28"/>
        </w:rPr>
      </w:pPr>
      <w:r w:rsidRPr="00094A81">
        <w:rPr>
          <w:b/>
          <w:szCs w:val="28"/>
        </w:rPr>
        <w:t>Līdz ar to, secināms, ka pretendents ir iesniedzis maldinošu informāciju par veiktajiem darbiem</w:t>
      </w:r>
      <w:r w:rsidRPr="006D4F43">
        <w:rPr>
          <w:szCs w:val="28"/>
        </w:rPr>
        <w:t>.</w:t>
      </w:r>
    </w:p>
    <w:p w:rsidR="003B755C" w:rsidRPr="006D4F43" w:rsidRDefault="003B755C" w:rsidP="006D4F43">
      <w:pPr>
        <w:jc w:val="both"/>
        <w:rPr>
          <w:sz w:val="22"/>
          <w:highlight w:val="yellow"/>
        </w:rPr>
      </w:pPr>
      <w:r w:rsidRPr="006D4F43">
        <w:rPr>
          <w:szCs w:val="28"/>
        </w:rPr>
        <w:t>Ievērojot minēto un faktu, ka pretendenta piedāvājums neatbilst iepirkuma procedūras dokumentācijā izvirzītajām prasībām, kā arī pretendents ir sniedzis nepatiesu informāciju par veiktajiem darbiem, pretendenta iesniegtais piedāvājums tiek izslēgts no turpmākās piedāvājumu vērtēšanas procedūras</w:t>
      </w:r>
    </w:p>
    <w:p w:rsidR="003B755C" w:rsidRDefault="003B755C" w:rsidP="003758DF">
      <w:pPr>
        <w:jc w:val="both"/>
        <w:rPr>
          <w:highlight w:val="yellow"/>
        </w:rPr>
      </w:pPr>
    </w:p>
    <w:p w:rsidR="003B755C" w:rsidRPr="006D4F43" w:rsidRDefault="003B755C" w:rsidP="0048502B">
      <w:pPr>
        <w:jc w:val="both"/>
      </w:pPr>
      <w:r>
        <w:t xml:space="preserve">(2) </w:t>
      </w:r>
      <w:r w:rsidRPr="002D2B0B">
        <w:rPr>
          <w:u w:val="single"/>
        </w:rPr>
        <w:t xml:space="preserve">Pretendenta – </w:t>
      </w:r>
      <w:r w:rsidRPr="002D2B0B">
        <w:rPr>
          <w:b/>
          <w:u w:val="single"/>
        </w:rPr>
        <w:t>SIA „</w:t>
      </w:r>
      <w:r w:rsidRPr="002D2B0B">
        <w:rPr>
          <w:b/>
          <w:sz w:val="22"/>
          <w:szCs w:val="22"/>
          <w:u w:val="single"/>
        </w:rPr>
        <w:t xml:space="preserve">MEŽGAĻI </w:t>
      </w:r>
      <w:r w:rsidRPr="002D2B0B">
        <w:rPr>
          <w:b/>
          <w:u w:val="single"/>
        </w:rPr>
        <w:t>”</w:t>
      </w:r>
      <w:r w:rsidRPr="006D4F43">
        <w:t xml:space="preserve">, reģ.Nr.40003885680 iesniegtais piedāvājums neatbilst publiskās iepirkuma procedūras dokumentācijā izvirzītajām prasībām un konstatētās neatbilstības ir būtiskas, līdz ar to, tas ir izslēdzams no turpmākās vērtēšanas, zemāk norādīto trūkumu dēļ: </w:t>
      </w:r>
    </w:p>
    <w:p w:rsidR="003B755C" w:rsidRPr="00094A81" w:rsidRDefault="003B755C" w:rsidP="0048502B">
      <w:pPr>
        <w:jc w:val="both"/>
        <w:rPr>
          <w:b/>
          <w:szCs w:val="28"/>
        </w:rPr>
      </w:pPr>
      <w:r w:rsidRPr="006D4F43">
        <w:rPr>
          <w:szCs w:val="28"/>
        </w:rPr>
        <w:t xml:space="preserve">Pārbaudot pretendenta sniegtās ziņas par būvniecības jomām, kurās būvkomersants (pretendents) saskaņā ar būvniecības likuma 10 panta 2 daļu ir tiesīgs veikt komercdarbību, pārbaudot ziņas Latvijas  Republikas Ekonomikas ministrijas publiski pieejama būvkomersanta reģistrā, tika konstatēts, ka </w:t>
      </w:r>
      <w:r w:rsidRPr="00094A81">
        <w:rPr>
          <w:b/>
          <w:szCs w:val="28"/>
        </w:rPr>
        <w:t xml:space="preserve">pretendents ir tiesīgs veikt komercdarbību ceļu projektēšanā, ceļu būvdarbu vadīšanā un būvuzraudzībā. </w:t>
      </w:r>
    </w:p>
    <w:p w:rsidR="003B755C" w:rsidRPr="006D4F43" w:rsidRDefault="003B755C" w:rsidP="0048502B">
      <w:pPr>
        <w:jc w:val="both"/>
        <w:rPr>
          <w:szCs w:val="28"/>
        </w:rPr>
      </w:pPr>
      <w:r w:rsidRPr="006D4F43">
        <w:rPr>
          <w:szCs w:val="28"/>
        </w:rPr>
        <w:t>Saskaņā ar būvkomersantu reģistrā esošo informāciju, pretendents ievērojot Ministra kabineta noteikumus 799 būvniecības reģistra noteikumi 4. punkta 4.2. apakšpunktu ir nodarbinājis atbildīgo speciālistu, kas ir sertificēts ceļu projektēšanā, būvdarbu vadīšanā un būvuzraudzības jomā.</w:t>
      </w:r>
    </w:p>
    <w:p w:rsidR="003B755C" w:rsidRPr="00E67935" w:rsidRDefault="003B755C" w:rsidP="0048502B">
      <w:pPr>
        <w:jc w:val="both"/>
        <w:rPr>
          <w:szCs w:val="28"/>
        </w:rPr>
      </w:pPr>
      <w:r w:rsidRPr="006D4F43">
        <w:rPr>
          <w:szCs w:val="28"/>
        </w:rPr>
        <w:t xml:space="preserve">Papildus </w:t>
      </w:r>
      <w:r w:rsidRPr="00094A81">
        <w:rPr>
          <w:b/>
          <w:szCs w:val="28"/>
        </w:rPr>
        <w:t xml:space="preserve">Pretendenta piedāvājumā ir pievienota būvprakses sertifikāta hidromelioratīvajā būvniecībā  ar  Nr.  45 – 333, kas izniegts Emīlam Avetjanam, kopija. Piedāvājums nesatur dokumentus , kas apliecinātu faktu , ka minētais speciālists hidromelioratīvajā būvniecības jomā ir nodarbināts pie pretendenta kā atbildīgais speciālists, atbilstoši Ministru kabineta noteikumiem Nr.799  būvkomersantu reģistrācijas noteikumi 4. punkta 4.2. apakšpunkta noteikumiem, </w:t>
      </w:r>
      <w:r w:rsidRPr="00E67935">
        <w:rPr>
          <w:szCs w:val="28"/>
        </w:rPr>
        <w:t xml:space="preserve">kuri nosaka ka komersantam ir pastāvīgi jāuztur un jāaktualizē informācija būvkomersanta reģistrā par nodarbinātajiem atbildīgajiem speciālistiem attiecīgās būvniecības jomās, kurās būvkomersants vēlas veikt komercdarbību. </w:t>
      </w:r>
    </w:p>
    <w:p w:rsidR="003B755C" w:rsidRPr="006D4F43" w:rsidRDefault="003B755C" w:rsidP="0048502B">
      <w:pPr>
        <w:jc w:val="both"/>
        <w:rPr>
          <w:szCs w:val="28"/>
        </w:rPr>
      </w:pPr>
      <w:r w:rsidRPr="00E67935">
        <w:rPr>
          <w:b/>
          <w:szCs w:val="28"/>
        </w:rPr>
        <w:t>Pārbaudot būvkomersanta reģistrā publicēto informāciju, par pretendenta norādītā speciālista Emīla Avetjana darbības  jomām, tika konstatēts ka viņš , kā atbildīgais speciālists nav norādīts pie pretendenta</w:t>
      </w:r>
      <w:r w:rsidRPr="006D4F43">
        <w:rPr>
          <w:szCs w:val="28"/>
        </w:rPr>
        <w:t xml:space="preserve"> un jau vienlaicīgi kā atbildīgais speciālists ir norādīts pie diviem citiem komersantiem SIA „Varpet” un SIA „Ceļu būvniecības sabiedrība „IGATE””. </w:t>
      </w:r>
    </w:p>
    <w:p w:rsidR="003B755C" w:rsidRPr="006D4F43" w:rsidRDefault="003B755C" w:rsidP="0048502B">
      <w:pPr>
        <w:jc w:val="both"/>
        <w:rPr>
          <w:szCs w:val="28"/>
        </w:rPr>
      </w:pPr>
      <w:r w:rsidRPr="006D4F43">
        <w:rPr>
          <w:szCs w:val="28"/>
        </w:rPr>
        <w:t>Saskaņā ar būvkomersanta reģistra noteikumiem, komersanta nodarbinātais speciālists vienlaikus kā atbildīgais speciālists, nevar atrasties nodarbinātības attiecībās ar vairāk kā diviem komersantiem, kas reģistrēti būvkomersanta reģistrā.</w:t>
      </w:r>
    </w:p>
    <w:p w:rsidR="003B755C" w:rsidRPr="00E67935" w:rsidRDefault="003B755C" w:rsidP="0048502B">
      <w:pPr>
        <w:jc w:val="both"/>
        <w:rPr>
          <w:b/>
          <w:szCs w:val="28"/>
        </w:rPr>
      </w:pPr>
      <w:r w:rsidRPr="00E67935">
        <w:rPr>
          <w:b/>
          <w:szCs w:val="28"/>
        </w:rPr>
        <w:t>Līdz ar to ir secināms, ka pretendents ir iesniedzis piedāvājumu par būvniecības jomu, kurā viņš nav tiesīgs izpildīt darbus ievērojot būvniecības likuma 10 panta 2. daļu</w:t>
      </w:r>
    </w:p>
    <w:p w:rsidR="003B755C" w:rsidRPr="006D4F43" w:rsidRDefault="003B755C" w:rsidP="0048502B">
      <w:pPr>
        <w:jc w:val="both"/>
        <w:rPr>
          <w:szCs w:val="28"/>
        </w:rPr>
      </w:pPr>
      <w:r w:rsidRPr="006D4F43">
        <w:rPr>
          <w:szCs w:val="28"/>
        </w:rPr>
        <w:t xml:space="preserve">Kaut arī pretendenta piedāvājums turpmāk nav vērtējams, izskatot to ir secināms ka </w:t>
      </w:r>
      <w:r w:rsidRPr="00E67935">
        <w:rPr>
          <w:b/>
          <w:szCs w:val="28"/>
        </w:rPr>
        <w:t>pretendenta piedāvāto darba izpildes termiņš ir ārpus pasūtītāja noteiktajam pieļaujamam darbu izpildes termiņam</w:t>
      </w:r>
      <w:r w:rsidRPr="006D4F43">
        <w:rPr>
          <w:szCs w:val="28"/>
        </w:rPr>
        <w:t>, kas norādīts IUB mājas lapā pasūtītāja publicētajā paziņojumā par līgumu.</w:t>
      </w:r>
    </w:p>
    <w:p w:rsidR="003B755C" w:rsidRDefault="003B755C" w:rsidP="0048502B">
      <w:pPr>
        <w:jc w:val="both"/>
      </w:pPr>
    </w:p>
    <w:p w:rsidR="003B755C" w:rsidRPr="006D4F43" w:rsidRDefault="003B755C" w:rsidP="0048502B">
      <w:pPr>
        <w:jc w:val="both"/>
      </w:pPr>
      <w:r>
        <w:t xml:space="preserve">(3) </w:t>
      </w:r>
      <w:r w:rsidRPr="0083323C">
        <w:rPr>
          <w:u w:val="single"/>
        </w:rPr>
        <w:t xml:space="preserve">Pretendenta – </w:t>
      </w:r>
      <w:r w:rsidRPr="0083323C">
        <w:rPr>
          <w:b/>
          <w:u w:val="single"/>
        </w:rPr>
        <w:t>SIA „</w:t>
      </w:r>
      <w:r w:rsidRPr="0083323C">
        <w:rPr>
          <w:b/>
          <w:sz w:val="22"/>
          <w:szCs w:val="22"/>
          <w:u w:val="single"/>
        </w:rPr>
        <w:t xml:space="preserve">ME </w:t>
      </w:r>
      <w:r w:rsidRPr="0083323C">
        <w:rPr>
          <w:b/>
          <w:u w:val="single"/>
        </w:rPr>
        <w:t>”</w:t>
      </w:r>
      <w:r w:rsidRPr="006D4F43">
        <w:t xml:space="preserve">, reģ.Nr.40103199106 iesniegtais piedāvājums neatbilst publiskās iepirkuma procedūras dokumentācijā izvirzītajām prasībām un konstatētās neatbilstības ir būtiskas, līdz ar to, tas ir izslēdzams no turpmākās vērtēšanas, zemāk norādīto trūkumu dēļ: </w:t>
      </w:r>
    </w:p>
    <w:p w:rsidR="003B755C" w:rsidRDefault="003B755C" w:rsidP="0048502B">
      <w:pPr>
        <w:jc w:val="both"/>
        <w:rPr>
          <w:highlight w:val="yellow"/>
        </w:rPr>
      </w:pPr>
    </w:p>
    <w:p w:rsidR="003B755C" w:rsidRPr="00274AED" w:rsidRDefault="003B755C" w:rsidP="006D4F43">
      <w:pPr>
        <w:jc w:val="both"/>
        <w:rPr>
          <w:b/>
          <w:szCs w:val="28"/>
        </w:rPr>
      </w:pPr>
      <w:r w:rsidRPr="006D4F43">
        <w:rPr>
          <w:szCs w:val="28"/>
        </w:rPr>
        <w:lastRenderedPageBreak/>
        <w:t xml:space="preserve">Pārbaudot pretendenta sniegtās ziņas par būvniecības jomām, kurās būvkomersants (pretendents) saskaņā ar būvniecības likuma 10 panta 2 daļu ir tiesīgs veikt komercdarbību, Latvijas  Republikas Ekonomikas ministrijas publiski pieejamā būvkomersanta reģistrā, tika konstatēts, ka </w:t>
      </w:r>
      <w:r w:rsidRPr="00274AED">
        <w:rPr>
          <w:b/>
          <w:szCs w:val="28"/>
        </w:rPr>
        <w:t xml:space="preserve">pretendents ir tiesīgs veikt komercdarbību ceļu projektēšanā, ceļu būvdarbu vadīšanā un būvuzraudzībā. </w:t>
      </w:r>
    </w:p>
    <w:p w:rsidR="003B755C" w:rsidRPr="006D4F43" w:rsidRDefault="003B755C" w:rsidP="006D4F43">
      <w:pPr>
        <w:jc w:val="both"/>
        <w:rPr>
          <w:szCs w:val="28"/>
        </w:rPr>
      </w:pPr>
      <w:r w:rsidRPr="006D4F43">
        <w:rPr>
          <w:szCs w:val="28"/>
        </w:rPr>
        <w:t>Saskaņā ar būvkomersantu reģistrā esošo informāciju, pretendents ievērojot Ministra kabineta noteikumus 799 būvniecības reģistra noteikumi 4. punkta 4.2. apakšpunktu ir nodarbinājis atbildīgo speciālistu, kas ir sertificēts ceļu projektēšanā, būvdarbu vadīšanā un būvuzraudzības jomā.</w:t>
      </w:r>
    </w:p>
    <w:p w:rsidR="003B755C" w:rsidRPr="006D4F43" w:rsidRDefault="003B755C" w:rsidP="006D4F43">
      <w:pPr>
        <w:jc w:val="both"/>
        <w:rPr>
          <w:szCs w:val="28"/>
        </w:rPr>
      </w:pPr>
      <w:r w:rsidRPr="00274AED">
        <w:rPr>
          <w:b/>
          <w:szCs w:val="28"/>
        </w:rPr>
        <w:t>Līdz ar to ir secināms, ka pretendents ir iesniedzis piedāvājumu par būvniecības jomu, kurā viņš nav tiesīgs izpildīt darbus ievērojot būvniecības likuma 10 panta 2. daļu,</w:t>
      </w:r>
      <w:r w:rsidRPr="006D4F43">
        <w:rPr>
          <w:szCs w:val="28"/>
        </w:rPr>
        <w:t xml:space="preserve"> jo būvkomersanta reģistrā pretendentam nav reģistrēts atbildīgais speciālists, kurš būtu saņēmis attiecīgu sertifikātu publisko iepirkumu līgumā paredzēto darbu izpildei.</w:t>
      </w:r>
    </w:p>
    <w:p w:rsidR="003B755C" w:rsidRPr="006D4F43" w:rsidRDefault="003B755C" w:rsidP="006D4F43">
      <w:pPr>
        <w:jc w:val="both"/>
        <w:rPr>
          <w:szCs w:val="28"/>
        </w:rPr>
      </w:pPr>
      <w:r w:rsidRPr="006D4F43">
        <w:rPr>
          <w:szCs w:val="28"/>
        </w:rPr>
        <w:t xml:space="preserve">Līdz ar to pretendenta piedāvājums turpmāk netiek vērtēts, jo neatbilst publisko iepirkumu procedūras dokumentācijā ietvertajām prasībām.  </w:t>
      </w:r>
    </w:p>
    <w:p w:rsidR="003B755C" w:rsidRPr="00432753" w:rsidRDefault="003B755C" w:rsidP="0048502B">
      <w:pPr>
        <w:jc w:val="both"/>
        <w:rPr>
          <w:highlight w:val="yellow"/>
        </w:rPr>
      </w:pPr>
    </w:p>
    <w:p w:rsidR="003B755C" w:rsidRPr="004C67B9" w:rsidRDefault="003B755C" w:rsidP="001F4268">
      <w:pPr>
        <w:ind w:right="71"/>
        <w:jc w:val="both"/>
        <w:rPr>
          <w:bCs/>
          <w:sz w:val="22"/>
          <w:szCs w:val="22"/>
        </w:rPr>
      </w:pPr>
      <w:r w:rsidRPr="004C67B9">
        <w:rPr>
          <w:bCs/>
          <w:sz w:val="22"/>
          <w:szCs w:val="22"/>
        </w:rPr>
        <w:t>Iepirkumu komisijas locekļu individuālo vērtējumu apkopojums ar vērtējum</w:t>
      </w:r>
      <w:r>
        <w:rPr>
          <w:bCs/>
          <w:sz w:val="22"/>
          <w:szCs w:val="22"/>
        </w:rPr>
        <w:t>u</w:t>
      </w:r>
      <w:r w:rsidRPr="004C67B9">
        <w:rPr>
          <w:bCs/>
          <w:sz w:val="22"/>
          <w:szCs w:val="22"/>
        </w:rPr>
        <w:t xml:space="preserve"> pamatojumu </w:t>
      </w:r>
      <w:r>
        <w:rPr>
          <w:bCs/>
          <w:sz w:val="22"/>
          <w:szCs w:val="22"/>
        </w:rPr>
        <w:t xml:space="preserve">tiek </w:t>
      </w:r>
      <w:r w:rsidRPr="004C67B9">
        <w:rPr>
          <w:bCs/>
          <w:sz w:val="22"/>
          <w:szCs w:val="22"/>
        </w:rPr>
        <w:t xml:space="preserve">pievienots protokola </w:t>
      </w:r>
      <w:r>
        <w:rPr>
          <w:bCs/>
          <w:i/>
          <w:sz w:val="22"/>
          <w:szCs w:val="22"/>
        </w:rPr>
        <w:t>4</w:t>
      </w:r>
      <w:r w:rsidRPr="0053144A">
        <w:rPr>
          <w:bCs/>
          <w:i/>
          <w:sz w:val="22"/>
          <w:szCs w:val="22"/>
        </w:rPr>
        <w:t>.pielikumā.</w:t>
      </w:r>
    </w:p>
    <w:p w:rsidR="003B755C" w:rsidRDefault="003B755C" w:rsidP="0048502B">
      <w:pPr>
        <w:jc w:val="both"/>
        <w:rPr>
          <w:highlight w:val="yellow"/>
        </w:rPr>
      </w:pPr>
    </w:p>
    <w:p w:rsidR="003B755C" w:rsidRPr="00D466C4" w:rsidRDefault="003B755C" w:rsidP="0048502B">
      <w:pPr>
        <w:jc w:val="both"/>
        <w:rPr>
          <w:b/>
        </w:rPr>
      </w:pPr>
      <w:r w:rsidRPr="00D466C4">
        <w:rPr>
          <w:b/>
        </w:rPr>
        <w:t>Pamatojoties uz augstāk minēto un iepirkumu komisijas locekļu individuālajiem vērtējumiem, iepirkumu komisija nolemj:</w:t>
      </w:r>
    </w:p>
    <w:p w:rsidR="003B755C" w:rsidRPr="008F60D1" w:rsidRDefault="003B755C" w:rsidP="003758DF">
      <w:pPr>
        <w:ind w:left="720" w:right="71"/>
        <w:jc w:val="both"/>
        <w:rPr>
          <w:bCs/>
          <w:sz w:val="22"/>
          <w:szCs w:val="22"/>
        </w:rPr>
      </w:pPr>
    </w:p>
    <w:p w:rsidR="003B755C" w:rsidRPr="006D4F43" w:rsidRDefault="003B755C" w:rsidP="003758DF">
      <w:pPr>
        <w:ind w:right="71"/>
        <w:rPr>
          <w:bCs/>
          <w:sz w:val="22"/>
          <w:szCs w:val="22"/>
        </w:rPr>
      </w:pPr>
      <w:r w:rsidRPr="006D4F43">
        <w:rPr>
          <w:bCs/>
          <w:sz w:val="22"/>
          <w:szCs w:val="22"/>
        </w:rPr>
        <w:t xml:space="preserve">1.  Par visizdevīgāko piedāvājumu atzīt  </w:t>
      </w:r>
      <w:r w:rsidRPr="006D4F43">
        <w:rPr>
          <w:sz w:val="22"/>
          <w:szCs w:val="22"/>
        </w:rPr>
        <w:t>SIA „SALI BŪVTRANS”</w:t>
      </w:r>
      <w:r w:rsidRPr="006D4F43">
        <w:rPr>
          <w:bCs/>
          <w:sz w:val="22"/>
          <w:szCs w:val="22"/>
        </w:rPr>
        <w:t xml:space="preserve"> piedāvājumu, kas saskaņā ar iepirkumu komisijas locekļu individuālajiem vērtējumiem ir ieguvis lielāko punktu skaitu.</w:t>
      </w:r>
    </w:p>
    <w:p w:rsidR="003B755C" w:rsidRPr="006D4F43" w:rsidRDefault="003B755C" w:rsidP="003758DF">
      <w:pPr>
        <w:ind w:right="71"/>
        <w:jc w:val="both"/>
        <w:rPr>
          <w:bCs/>
          <w:sz w:val="22"/>
          <w:szCs w:val="22"/>
        </w:rPr>
      </w:pPr>
      <w:r w:rsidRPr="006D4F43">
        <w:rPr>
          <w:bCs/>
          <w:sz w:val="22"/>
          <w:szCs w:val="22"/>
        </w:rPr>
        <w:t xml:space="preserve">2.  Noslēgt ar </w:t>
      </w:r>
      <w:r w:rsidRPr="006D4F43">
        <w:rPr>
          <w:sz w:val="22"/>
          <w:szCs w:val="22"/>
        </w:rPr>
        <w:t>SIA „SALI BŪVTRANS”</w:t>
      </w:r>
      <w:r w:rsidRPr="006D4F43">
        <w:rPr>
          <w:bCs/>
          <w:sz w:val="22"/>
          <w:szCs w:val="22"/>
        </w:rPr>
        <w:t xml:space="preserve"> publisko iepirkuma līgumu, saskaņā ar publiskās iepirkuma procedūras dokumentāciju un iesniegto piedāvājumu.</w:t>
      </w:r>
    </w:p>
    <w:p w:rsidR="003B755C" w:rsidRPr="006D4F43" w:rsidRDefault="003B755C" w:rsidP="007D7828">
      <w:pPr>
        <w:ind w:right="-213"/>
        <w:jc w:val="both"/>
        <w:rPr>
          <w:b/>
          <w:sz w:val="22"/>
          <w:szCs w:val="22"/>
          <w:u w:val="single"/>
        </w:rPr>
      </w:pPr>
    </w:p>
    <w:p w:rsidR="003B755C" w:rsidRPr="006D4F43" w:rsidRDefault="003B755C" w:rsidP="007D7828">
      <w:pPr>
        <w:ind w:right="-213"/>
        <w:jc w:val="both"/>
        <w:rPr>
          <w:sz w:val="22"/>
          <w:szCs w:val="22"/>
        </w:rPr>
      </w:pPr>
      <w:r w:rsidRPr="006D4F43">
        <w:rPr>
          <w:b/>
          <w:sz w:val="22"/>
          <w:szCs w:val="22"/>
          <w:u w:val="single"/>
        </w:rPr>
        <w:t>Balso “par”</w:t>
      </w:r>
      <w:r w:rsidRPr="006D4F43">
        <w:rPr>
          <w:b/>
          <w:sz w:val="22"/>
          <w:szCs w:val="22"/>
        </w:rPr>
        <w:t>:</w:t>
      </w:r>
      <w:r w:rsidRPr="006D4F43">
        <w:rPr>
          <w:sz w:val="22"/>
          <w:szCs w:val="22"/>
        </w:rPr>
        <w:t xml:space="preserve"> P.Plinte, A.Kamarūts, L.Janberga.</w:t>
      </w:r>
    </w:p>
    <w:p w:rsidR="003B755C" w:rsidRPr="006D4F43" w:rsidRDefault="003B755C" w:rsidP="007D7828">
      <w:pPr>
        <w:ind w:right="71"/>
        <w:jc w:val="both"/>
        <w:rPr>
          <w:sz w:val="22"/>
          <w:szCs w:val="22"/>
        </w:rPr>
      </w:pPr>
      <w:r w:rsidRPr="006D4F43">
        <w:rPr>
          <w:b/>
          <w:sz w:val="22"/>
          <w:szCs w:val="22"/>
          <w:u w:val="single"/>
        </w:rPr>
        <w:t>Balso “pret”</w:t>
      </w:r>
      <w:r w:rsidRPr="006D4F43">
        <w:rPr>
          <w:b/>
          <w:sz w:val="22"/>
          <w:szCs w:val="22"/>
        </w:rPr>
        <w:t xml:space="preserve">: </w:t>
      </w:r>
      <w:r w:rsidRPr="006D4F43">
        <w:rPr>
          <w:bCs/>
          <w:sz w:val="22"/>
          <w:szCs w:val="22"/>
        </w:rPr>
        <w:t>nav.</w:t>
      </w:r>
    </w:p>
    <w:p w:rsidR="003B755C" w:rsidRPr="006D4F43" w:rsidRDefault="003B755C" w:rsidP="007D7828">
      <w:pPr>
        <w:ind w:right="71"/>
        <w:jc w:val="both"/>
        <w:rPr>
          <w:sz w:val="22"/>
          <w:szCs w:val="22"/>
        </w:rPr>
      </w:pPr>
      <w:r w:rsidRPr="006D4F43">
        <w:rPr>
          <w:b/>
          <w:sz w:val="22"/>
          <w:szCs w:val="22"/>
          <w:u w:val="single"/>
        </w:rPr>
        <w:t>Balso “atturas”</w:t>
      </w:r>
      <w:r w:rsidRPr="006D4F43">
        <w:rPr>
          <w:b/>
          <w:sz w:val="22"/>
          <w:szCs w:val="22"/>
        </w:rPr>
        <w:t>:</w:t>
      </w:r>
      <w:r w:rsidRPr="006D4F43">
        <w:rPr>
          <w:sz w:val="22"/>
          <w:szCs w:val="22"/>
        </w:rPr>
        <w:t xml:space="preserve"> nav.</w:t>
      </w:r>
    </w:p>
    <w:p w:rsidR="003B755C" w:rsidRPr="006D4F43" w:rsidRDefault="003B755C" w:rsidP="007D7828">
      <w:pPr>
        <w:ind w:right="71"/>
        <w:jc w:val="both"/>
        <w:rPr>
          <w:b/>
          <w:sz w:val="22"/>
          <w:szCs w:val="22"/>
          <w:u w:val="single"/>
        </w:rPr>
      </w:pPr>
      <w:r w:rsidRPr="006D4F43">
        <w:rPr>
          <w:b/>
          <w:sz w:val="22"/>
          <w:szCs w:val="22"/>
          <w:u w:val="single"/>
        </w:rPr>
        <w:t>Lēmums ir pieņemts</w:t>
      </w:r>
    </w:p>
    <w:p w:rsidR="003B755C" w:rsidRPr="006D4F43" w:rsidRDefault="003B755C" w:rsidP="007D7828">
      <w:pPr>
        <w:ind w:right="71"/>
        <w:jc w:val="both"/>
        <w:rPr>
          <w:b/>
          <w:sz w:val="22"/>
          <w:szCs w:val="22"/>
        </w:rPr>
      </w:pPr>
    </w:p>
    <w:p w:rsidR="003B755C" w:rsidRPr="006D4F43" w:rsidRDefault="003B755C" w:rsidP="007D7828">
      <w:pPr>
        <w:ind w:right="-213"/>
        <w:jc w:val="both"/>
        <w:rPr>
          <w:b/>
          <w:sz w:val="22"/>
          <w:szCs w:val="22"/>
        </w:rPr>
      </w:pPr>
    </w:p>
    <w:bookmarkEnd w:id="8"/>
    <w:bookmarkEnd w:id="9"/>
    <w:p w:rsidR="003B755C" w:rsidRPr="00657D69" w:rsidRDefault="003B755C" w:rsidP="007D7828">
      <w:pPr>
        <w:ind w:right="-213"/>
        <w:jc w:val="both"/>
        <w:rPr>
          <w:sz w:val="22"/>
          <w:szCs w:val="22"/>
        </w:rPr>
      </w:pPr>
      <w:r w:rsidRPr="006D4F43">
        <w:rPr>
          <w:sz w:val="22"/>
          <w:szCs w:val="22"/>
        </w:rPr>
        <w:t>Sēde slēgta plkst. 14:00</w:t>
      </w:r>
    </w:p>
    <w:p w:rsidR="003B755C" w:rsidRPr="00657D69" w:rsidRDefault="003B755C" w:rsidP="007D7828">
      <w:pPr>
        <w:ind w:right="-213"/>
        <w:jc w:val="both"/>
        <w:rPr>
          <w:sz w:val="22"/>
          <w:szCs w:val="22"/>
        </w:rPr>
      </w:pPr>
      <w:r w:rsidRPr="00657D69">
        <w:rPr>
          <w:sz w:val="22"/>
          <w:szCs w:val="22"/>
        </w:rPr>
        <w:t xml:space="preserve">Protokols sastādīts uz </w:t>
      </w:r>
      <w:r>
        <w:rPr>
          <w:sz w:val="22"/>
          <w:szCs w:val="22"/>
        </w:rPr>
        <w:t>4</w:t>
      </w:r>
      <w:r w:rsidRPr="00657D69">
        <w:rPr>
          <w:sz w:val="22"/>
          <w:szCs w:val="22"/>
        </w:rPr>
        <w:t xml:space="preserve"> (</w:t>
      </w:r>
      <w:r>
        <w:rPr>
          <w:sz w:val="22"/>
          <w:szCs w:val="22"/>
        </w:rPr>
        <w:t>četrām</w:t>
      </w:r>
      <w:r w:rsidRPr="00657D69">
        <w:rPr>
          <w:sz w:val="22"/>
          <w:szCs w:val="22"/>
        </w:rPr>
        <w:t>) lapām</w:t>
      </w:r>
      <w:r>
        <w:rPr>
          <w:sz w:val="22"/>
          <w:szCs w:val="22"/>
        </w:rPr>
        <w:t xml:space="preserve"> ar 4 (četriem) pielikumiem</w:t>
      </w:r>
      <w:r w:rsidRPr="00657D69">
        <w:rPr>
          <w:sz w:val="22"/>
          <w:szCs w:val="22"/>
        </w:rPr>
        <w:t xml:space="preserve">, vienā oriģināleksemplārā. </w:t>
      </w:r>
    </w:p>
    <w:p w:rsidR="003B755C" w:rsidRDefault="003B755C" w:rsidP="007D7828">
      <w:pPr>
        <w:tabs>
          <w:tab w:val="center" w:pos="5040"/>
          <w:tab w:val="right" w:pos="8820"/>
        </w:tabs>
        <w:spacing w:before="120"/>
        <w:ind w:right="-213"/>
        <w:rPr>
          <w:sz w:val="22"/>
          <w:szCs w:val="22"/>
        </w:rPr>
      </w:pPr>
    </w:p>
    <w:p w:rsidR="003B755C" w:rsidRPr="00657D69" w:rsidRDefault="003B755C" w:rsidP="00DA3E10">
      <w:pPr>
        <w:tabs>
          <w:tab w:val="center" w:pos="5040"/>
          <w:tab w:val="right" w:pos="8820"/>
        </w:tabs>
        <w:spacing w:before="120"/>
        <w:ind w:right="-213"/>
        <w:rPr>
          <w:sz w:val="22"/>
          <w:szCs w:val="22"/>
        </w:rPr>
      </w:pPr>
      <w:r>
        <w:rPr>
          <w:sz w:val="22"/>
          <w:szCs w:val="22"/>
        </w:rPr>
        <w:t>Komisijas priekšsēdētājs                                                                        P.Plinte</w:t>
      </w:r>
    </w:p>
    <w:p w:rsidR="003B755C" w:rsidRPr="00657D69" w:rsidRDefault="003B755C" w:rsidP="007D7828">
      <w:pPr>
        <w:tabs>
          <w:tab w:val="center" w:pos="5040"/>
          <w:tab w:val="right" w:pos="8820"/>
        </w:tabs>
        <w:spacing w:before="120"/>
        <w:ind w:right="-213"/>
        <w:rPr>
          <w:sz w:val="22"/>
          <w:szCs w:val="22"/>
        </w:rPr>
      </w:pPr>
    </w:p>
    <w:p w:rsidR="003B755C" w:rsidRDefault="003B755C" w:rsidP="007D7828">
      <w:pPr>
        <w:tabs>
          <w:tab w:val="center" w:pos="5040"/>
          <w:tab w:val="right" w:pos="8820"/>
        </w:tabs>
        <w:spacing w:before="120"/>
        <w:ind w:right="-213"/>
        <w:rPr>
          <w:sz w:val="22"/>
          <w:szCs w:val="22"/>
        </w:rPr>
      </w:pPr>
    </w:p>
    <w:p w:rsidR="003B755C" w:rsidRPr="00657D69" w:rsidRDefault="003B755C" w:rsidP="007D7828">
      <w:pPr>
        <w:tabs>
          <w:tab w:val="center" w:pos="5040"/>
          <w:tab w:val="right" w:pos="8820"/>
        </w:tabs>
        <w:spacing w:before="120"/>
        <w:ind w:right="-213"/>
        <w:rPr>
          <w:sz w:val="22"/>
          <w:szCs w:val="22"/>
        </w:rPr>
      </w:pPr>
      <w:r w:rsidRPr="00657D69">
        <w:rPr>
          <w:sz w:val="22"/>
          <w:szCs w:val="22"/>
        </w:rPr>
        <w:t>Komisijas locekļi:</w:t>
      </w:r>
    </w:p>
    <w:p w:rsidR="003B755C" w:rsidRPr="00657D69" w:rsidRDefault="003B755C"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r>
      <w:r w:rsidRPr="00657D69">
        <w:rPr>
          <w:sz w:val="22"/>
          <w:szCs w:val="22"/>
        </w:rPr>
        <w:tab/>
      </w:r>
      <w:r>
        <w:rPr>
          <w:sz w:val="22"/>
          <w:szCs w:val="22"/>
        </w:rPr>
        <w:t xml:space="preserve">                              A.Kamarūts</w:t>
      </w:r>
    </w:p>
    <w:p w:rsidR="003B755C" w:rsidRPr="00657D69" w:rsidRDefault="003B755C"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t xml:space="preserve">        </w:t>
      </w:r>
    </w:p>
    <w:p w:rsidR="003B755C" w:rsidRPr="00657D69" w:rsidRDefault="003B755C" w:rsidP="007D7828">
      <w:pPr>
        <w:tabs>
          <w:tab w:val="left" w:pos="3960"/>
          <w:tab w:val="left" w:pos="4500"/>
          <w:tab w:val="left" w:pos="4860"/>
          <w:tab w:val="center" w:pos="5040"/>
          <w:tab w:val="right" w:pos="8820"/>
        </w:tabs>
        <w:spacing w:before="120"/>
        <w:ind w:right="-213"/>
        <w:rPr>
          <w:sz w:val="22"/>
          <w:szCs w:val="22"/>
        </w:rPr>
      </w:pPr>
      <w:r w:rsidRPr="00657D69">
        <w:rPr>
          <w:sz w:val="22"/>
          <w:szCs w:val="22"/>
        </w:rPr>
        <w:tab/>
      </w:r>
      <w:r w:rsidRPr="00657D69">
        <w:rPr>
          <w:sz w:val="22"/>
          <w:szCs w:val="22"/>
        </w:rPr>
        <w:tab/>
      </w:r>
      <w:r>
        <w:rPr>
          <w:sz w:val="22"/>
          <w:szCs w:val="22"/>
        </w:rPr>
        <w:t xml:space="preserve">                              </w:t>
      </w:r>
      <w:r w:rsidRPr="00657D69">
        <w:rPr>
          <w:sz w:val="22"/>
          <w:szCs w:val="22"/>
        </w:rPr>
        <w:t xml:space="preserve"> </w:t>
      </w:r>
      <w:r>
        <w:rPr>
          <w:sz w:val="22"/>
          <w:szCs w:val="22"/>
        </w:rPr>
        <w:t>L.Janberga</w:t>
      </w:r>
      <w:r w:rsidRPr="00657D69">
        <w:rPr>
          <w:sz w:val="22"/>
          <w:szCs w:val="22"/>
        </w:rPr>
        <w:t xml:space="preserve"> </w:t>
      </w:r>
    </w:p>
    <w:p w:rsidR="003B755C" w:rsidRPr="00657D69" w:rsidRDefault="003B755C" w:rsidP="007D7828">
      <w:pPr>
        <w:rPr>
          <w:sz w:val="22"/>
          <w:szCs w:val="22"/>
        </w:rPr>
      </w:pPr>
    </w:p>
    <w:p w:rsidR="003B755C" w:rsidRDefault="003B755C" w:rsidP="00673F23">
      <w:pPr>
        <w:rPr>
          <w:sz w:val="22"/>
          <w:szCs w:val="22"/>
        </w:rPr>
      </w:pPr>
    </w:p>
    <w:p w:rsidR="003B755C" w:rsidRDefault="003B755C" w:rsidP="00673F23">
      <w:pPr>
        <w:rPr>
          <w:sz w:val="22"/>
          <w:szCs w:val="22"/>
        </w:rPr>
      </w:pPr>
    </w:p>
    <w:p w:rsidR="003B755C" w:rsidRDefault="003B755C" w:rsidP="00673F23">
      <w:pPr>
        <w:rPr>
          <w:sz w:val="22"/>
          <w:szCs w:val="22"/>
        </w:rPr>
      </w:pPr>
    </w:p>
    <w:p w:rsidR="003B755C" w:rsidRPr="00657D69" w:rsidRDefault="003B755C" w:rsidP="00673F23">
      <w:pPr>
        <w:rPr>
          <w:sz w:val="22"/>
          <w:szCs w:val="22"/>
        </w:rPr>
      </w:pPr>
      <w:r w:rsidRPr="00657D69">
        <w:rPr>
          <w:sz w:val="22"/>
          <w:szCs w:val="22"/>
        </w:rPr>
        <w:t>Protokolēja:</w:t>
      </w:r>
      <w:r>
        <w:rPr>
          <w:sz w:val="22"/>
          <w:szCs w:val="22"/>
        </w:rPr>
        <w:t xml:space="preserve"> P.Plinte</w:t>
      </w:r>
    </w:p>
    <w:sectPr w:rsidR="003B755C" w:rsidRPr="00657D69" w:rsidSect="007D7828">
      <w:pgSz w:w="11906" w:h="16838"/>
      <w:pgMar w:top="899" w:right="1800" w:bottom="53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31FD"/>
    <w:multiLevelType w:val="multilevel"/>
    <w:tmpl w:val="77B6262A"/>
    <w:lvl w:ilvl="0">
      <w:start w:val="1"/>
      <w:numFmt w:val="decimal"/>
      <w:lvlText w:val="%1."/>
      <w:legacy w:legacy="1" w:legacySpace="120" w:legacyIndent="360"/>
      <w:lvlJc w:val="left"/>
      <w:pPr>
        <w:ind w:left="540" w:hanging="360"/>
      </w:pPr>
      <w:rPr>
        <w:rFonts w:cs="Times New Roman"/>
      </w:rPr>
    </w:lvl>
    <w:lvl w:ilvl="1">
      <w:start w:val="2"/>
      <w:numFmt w:val="decimal"/>
      <w:lvlText w:val="%2"/>
      <w:legacy w:legacy="1" w:legacySpace="120" w:legacyIndent="360"/>
      <w:lvlJc w:val="left"/>
      <w:pPr>
        <w:ind w:left="720" w:hanging="360"/>
      </w:pPr>
      <w:rPr>
        <w:rFonts w:cs="Times New Roman"/>
      </w:rPr>
    </w:lvl>
    <w:lvl w:ilvl="2">
      <w:numFmt w:val="none"/>
      <w:lvlText w:val=""/>
      <w:legacy w:legacy="1" w:legacySpace="120" w:legacyIndent="360"/>
      <w:lvlJc w:val="left"/>
      <w:rPr>
        <w:rFonts w:cs="Times New Roman"/>
      </w:rPr>
    </w:lvl>
    <w:lvl w:ilvl="3">
      <w:numFmt w:val="none"/>
      <w:lvlText w:val=""/>
      <w:legacy w:legacy="1" w:legacySpace="120" w:legacyIndent="360"/>
      <w:lvlJc w:val="left"/>
      <w:rPr>
        <w:rFonts w:cs="Times New Roman"/>
      </w:rPr>
    </w:lvl>
    <w:lvl w:ilvl="4">
      <w:numFmt w:val="none"/>
      <w:lvlText w:val=""/>
      <w:legacy w:legacy="1" w:legacySpace="120" w:legacyIndent="360"/>
      <w:lvlJc w:val="left"/>
      <w:rPr>
        <w:rFonts w:cs="Times New Roman"/>
      </w:rPr>
    </w:lvl>
    <w:lvl w:ilvl="5">
      <w:numFmt w:val="none"/>
      <w:lvlText w:val=""/>
      <w:legacy w:legacy="1" w:legacySpace="120" w:legacyIndent="360"/>
      <w:lvlJc w:val="left"/>
      <w:rPr>
        <w:rFonts w:cs="Times New Roman"/>
      </w:rPr>
    </w:lvl>
    <w:lvl w:ilvl="6">
      <w:numFmt w:val="none"/>
      <w:lvlText w:val=""/>
      <w:legacy w:legacy="1" w:legacySpace="120" w:legacyIndent="360"/>
      <w:lvlJc w:val="left"/>
      <w:rPr>
        <w:rFonts w:cs="Times New Roman"/>
      </w:rPr>
    </w:lvl>
    <w:lvl w:ilvl="7">
      <w:numFmt w:val="none"/>
      <w:lvlText w:val=""/>
      <w:legacy w:legacy="1" w:legacySpace="120" w:legacyIndent="360"/>
      <w:lvlJc w:val="left"/>
      <w:rPr>
        <w:rFonts w:cs="Times New Roman"/>
      </w:rPr>
    </w:lvl>
    <w:lvl w:ilvl="8">
      <w:numFmt w:val="none"/>
      <w:lvlText w:val=""/>
      <w:legacy w:legacy="1" w:legacySpace="120" w:legacyIndent="360"/>
      <w:lvlJc w:val="left"/>
      <w:rPr>
        <w:rFonts w:cs="Times New Roman"/>
      </w:rPr>
    </w:lvl>
  </w:abstractNum>
  <w:abstractNum w:abstractNumId="1">
    <w:nsid w:val="18A4122E"/>
    <w:multiLevelType w:val="hybridMultilevel"/>
    <w:tmpl w:val="CA40AF26"/>
    <w:lvl w:ilvl="0" w:tplc="5B66D7DC">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1FAB0C03"/>
    <w:multiLevelType w:val="hybridMultilevel"/>
    <w:tmpl w:val="1F2ADF5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45A03D11"/>
    <w:multiLevelType w:val="hybridMultilevel"/>
    <w:tmpl w:val="01241D06"/>
    <w:lvl w:ilvl="0" w:tplc="3AAE7AF6">
      <w:start w:val="1"/>
      <w:numFmt w:val="bullet"/>
      <w:lvlText w:val=""/>
      <w:legacy w:legacy="1" w:legacySpace="360" w:legacyIndent="283"/>
      <w:lvlJc w:val="left"/>
      <w:pPr>
        <w:ind w:left="643" w:hanging="28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692012F"/>
    <w:multiLevelType w:val="hybridMultilevel"/>
    <w:tmpl w:val="0EAC3F86"/>
    <w:lvl w:ilvl="0" w:tplc="71B8088A">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30592C"/>
    <w:multiLevelType w:val="hybridMultilevel"/>
    <w:tmpl w:val="653869E0"/>
    <w:lvl w:ilvl="0" w:tplc="3AAE7AF6">
      <w:start w:val="1"/>
      <w:numFmt w:val="bullet"/>
      <w:lvlText w:val=""/>
      <w:legacy w:legacy="1" w:legacySpace="0" w:legacyIndent="283"/>
      <w:lvlJc w:val="left"/>
      <w:pPr>
        <w:ind w:left="1701" w:hanging="28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53"/>
    <w:rsid w:val="00006E81"/>
    <w:rsid w:val="0001476A"/>
    <w:rsid w:val="000408E2"/>
    <w:rsid w:val="0007159A"/>
    <w:rsid w:val="00075F30"/>
    <w:rsid w:val="00094A81"/>
    <w:rsid w:val="000A06DA"/>
    <w:rsid w:val="000B4FC5"/>
    <w:rsid w:val="000C0477"/>
    <w:rsid w:val="000C31A5"/>
    <w:rsid w:val="000C7460"/>
    <w:rsid w:val="000D1405"/>
    <w:rsid w:val="000F1831"/>
    <w:rsid w:val="000F3721"/>
    <w:rsid w:val="00111229"/>
    <w:rsid w:val="00127E7E"/>
    <w:rsid w:val="00145FAF"/>
    <w:rsid w:val="00145FE5"/>
    <w:rsid w:val="00151199"/>
    <w:rsid w:val="001652CC"/>
    <w:rsid w:val="0019034A"/>
    <w:rsid w:val="00191355"/>
    <w:rsid w:val="001969C7"/>
    <w:rsid w:val="001A43C9"/>
    <w:rsid w:val="001C2368"/>
    <w:rsid w:val="001D58A9"/>
    <w:rsid w:val="001D7780"/>
    <w:rsid w:val="001F4268"/>
    <w:rsid w:val="001F553B"/>
    <w:rsid w:val="0020229D"/>
    <w:rsid w:val="00202B2C"/>
    <w:rsid w:val="00205B99"/>
    <w:rsid w:val="002076E9"/>
    <w:rsid w:val="0021390D"/>
    <w:rsid w:val="00214EFC"/>
    <w:rsid w:val="00236793"/>
    <w:rsid w:val="002455E9"/>
    <w:rsid w:val="002655E2"/>
    <w:rsid w:val="00272C99"/>
    <w:rsid w:val="00274AED"/>
    <w:rsid w:val="00277928"/>
    <w:rsid w:val="00281179"/>
    <w:rsid w:val="002A14C2"/>
    <w:rsid w:val="002B131D"/>
    <w:rsid w:val="002B41AA"/>
    <w:rsid w:val="002D2B0B"/>
    <w:rsid w:val="002E30D2"/>
    <w:rsid w:val="002E46FF"/>
    <w:rsid w:val="002E4C52"/>
    <w:rsid w:val="002E50E4"/>
    <w:rsid w:val="003405D4"/>
    <w:rsid w:val="00341FB8"/>
    <w:rsid w:val="00344B2F"/>
    <w:rsid w:val="0035272C"/>
    <w:rsid w:val="00354B26"/>
    <w:rsid w:val="00363E39"/>
    <w:rsid w:val="003758DF"/>
    <w:rsid w:val="003B13DC"/>
    <w:rsid w:val="003B5A07"/>
    <w:rsid w:val="003B755C"/>
    <w:rsid w:val="003C71DD"/>
    <w:rsid w:val="003C7FBB"/>
    <w:rsid w:val="003E45D7"/>
    <w:rsid w:val="003F46FA"/>
    <w:rsid w:val="003F5560"/>
    <w:rsid w:val="00413452"/>
    <w:rsid w:val="00416578"/>
    <w:rsid w:val="00420FB9"/>
    <w:rsid w:val="00432753"/>
    <w:rsid w:val="00434D7D"/>
    <w:rsid w:val="00452F0A"/>
    <w:rsid w:val="004622D5"/>
    <w:rsid w:val="004634B0"/>
    <w:rsid w:val="00470CD2"/>
    <w:rsid w:val="0048502B"/>
    <w:rsid w:val="004972C3"/>
    <w:rsid w:val="004B2A3C"/>
    <w:rsid w:val="004B31F2"/>
    <w:rsid w:val="004B3AF0"/>
    <w:rsid w:val="004C67B9"/>
    <w:rsid w:val="00502AD0"/>
    <w:rsid w:val="00511A17"/>
    <w:rsid w:val="00524F22"/>
    <w:rsid w:val="0053144A"/>
    <w:rsid w:val="00541630"/>
    <w:rsid w:val="0054195A"/>
    <w:rsid w:val="00572D5D"/>
    <w:rsid w:val="0059035A"/>
    <w:rsid w:val="005B2F9C"/>
    <w:rsid w:val="005C6151"/>
    <w:rsid w:val="005F7A5F"/>
    <w:rsid w:val="00600BE0"/>
    <w:rsid w:val="006034A3"/>
    <w:rsid w:val="00603DB5"/>
    <w:rsid w:val="00612BC4"/>
    <w:rsid w:val="006364C8"/>
    <w:rsid w:val="00644482"/>
    <w:rsid w:val="00645579"/>
    <w:rsid w:val="00657D69"/>
    <w:rsid w:val="00661E03"/>
    <w:rsid w:val="00673F23"/>
    <w:rsid w:val="00682460"/>
    <w:rsid w:val="00683807"/>
    <w:rsid w:val="00683A00"/>
    <w:rsid w:val="006908ED"/>
    <w:rsid w:val="00691DF9"/>
    <w:rsid w:val="00697CED"/>
    <w:rsid w:val="006A4581"/>
    <w:rsid w:val="006A7090"/>
    <w:rsid w:val="006B5C12"/>
    <w:rsid w:val="006C7FC7"/>
    <w:rsid w:val="006D4F43"/>
    <w:rsid w:val="006E1B90"/>
    <w:rsid w:val="006E4ACF"/>
    <w:rsid w:val="006F2844"/>
    <w:rsid w:val="00703B35"/>
    <w:rsid w:val="00733459"/>
    <w:rsid w:val="00754ECA"/>
    <w:rsid w:val="0075552F"/>
    <w:rsid w:val="0076087B"/>
    <w:rsid w:val="007614F6"/>
    <w:rsid w:val="00762F24"/>
    <w:rsid w:val="007645F6"/>
    <w:rsid w:val="007905F6"/>
    <w:rsid w:val="00790F54"/>
    <w:rsid w:val="007A19C4"/>
    <w:rsid w:val="007B3BD5"/>
    <w:rsid w:val="007C16F6"/>
    <w:rsid w:val="007C40E0"/>
    <w:rsid w:val="007C5564"/>
    <w:rsid w:val="007D3B7B"/>
    <w:rsid w:val="007D7828"/>
    <w:rsid w:val="007E7B75"/>
    <w:rsid w:val="007F041F"/>
    <w:rsid w:val="008012B4"/>
    <w:rsid w:val="008049CD"/>
    <w:rsid w:val="00823CBE"/>
    <w:rsid w:val="0083323C"/>
    <w:rsid w:val="00874B0B"/>
    <w:rsid w:val="00887487"/>
    <w:rsid w:val="008B5509"/>
    <w:rsid w:val="008C0658"/>
    <w:rsid w:val="008C632E"/>
    <w:rsid w:val="008D1361"/>
    <w:rsid w:val="008D4C74"/>
    <w:rsid w:val="008D5828"/>
    <w:rsid w:val="008E099B"/>
    <w:rsid w:val="008F60D1"/>
    <w:rsid w:val="00913BF7"/>
    <w:rsid w:val="009219A4"/>
    <w:rsid w:val="0092415F"/>
    <w:rsid w:val="009311E5"/>
    <w:rsid w:val="00933DF5"/>
    <w:rsid w:val="00942534"/>
    <w:rsid w:val="00952DF2"/>
    <w:rsid w:val="00954533"/>
    <w:rsid w:val="009646CC"/>
    <w:rsid w:val="0096578E"/>
    <w:rsid w:val="00971C8D"/>
    <w:rsid w:val="00991B75"/>
    <w:rsid w:val="00992F6B"/>
    <w:rsid w:val="00993BBE"/>
    <w:rsid w:val="009B14BD"/>
    <w:rsid w:val="009D0B5E"/>
    <w:rsid w:val="009F07F9"/>
    <w:rsid w:val="00A11442"/>
    <w:rsid w:val="00A42DA1"/>
    <w:rsid w:val="00A52F3F"/>
    <w:rsid w:val="00A55D0B"/>
    <w:rsid w:val="00A63954"/>
    <w:rsid w:val="00A749F2"/>
    <w:rsid w:val="00A90FB1"/>
    <w:rsid w:val="00AB0AE4"/>
    <w:rsid w:val="00AC5D68"/>
    <w:rsid w:val="00AF2691"/>
    <w:rsid w:val="00AF587F"/>
    <w:rsid w:val="00B0481D"/>
    <w:rsid w:val="00B1710B"/>
    <w:rsid w:val="00B17F7A"/>
    <w:rsid w:val="00B20CD7"/>
    <w:rsid w:val="00B21465"/>
    <w:rsid w:val="00B24CAB"/>
    <w:rsid w:val="00B263B8"/>
    <w:rsid w:val="00B30C6E"/>
    <w:rsid w:val="00B540AB"/>
    <w:rsid w:val="00B70B1B"/>
    <w:rsid w:val="00B72D09"/>
    <w:rsid w:val="00B74A7C"/>
    <w:rsid w:val="00B80706"/>
    <w:rsid w:val="00B80AEB"/>
    <w:rsid w:val="00BA2073"/>
    <w:rsid w:val="00BB02A7"/>
    <w:rsid w:val="00BC7BEB"/>
    <w:rsid w:val="00BF77AF"/>
    <w:rsid w:val="00C14789"/>
    <w:rsid w:val="00C23319"/>
    <w:rsid w:val="00C27333"/>
    <w:rsid w:val="00C60598"/>
    <w:rsid w:val="00C60CC9"/>
    <w:rsid w:val="00C6244A"/>
    <w:rsid w:val="00C8039C"/>
    <w:rsid w:val="00C939DB"/>
    <w:rsid w:val="00C941B2"/>
    <w:rsid w:val="00C97021"/>
    <w:rsid w:val="00C974BB"/>
    <w:rsid w:val="00CF1445"/>
    <w:rsid w:val="00CF6D46"/>
    <w:rsid w:val="00D0079E"/>
    <w:rsid w:val="00D2639F"/>
    <w:rsid w:val="00D425D2"/>
    <w:rsid w:val="00D466C4"/>
    <w:rsid w:val="00D6281D"/>
    <w:rsid w:val="00D809C7"/>
    <w:rsid w:val="00DA1E82"/>
    <w:rsid w:val="00DA2DF9"/>
    <w:rsid w:val="00DA3E10"/>
    <w:rsid w:val="00DC228C"/>
    <w:rsid w:val="00DC6B6F"/>
    <w:rsid w:val="00DD1273"/>
    <w:rsid w:val="00DE3E73"/>
    <w:rsid w:val="00E177A4"/>
    <w:rsid w:val="00E21F29"/>
    <w:rsid w:val="00E37502"/>
    <w:rsid w:val="00E41453"/>
    <w:rsid w:val="00E62618"/>
    <w:rsid w:val="00E666CD"/>
    <w:rsid w:val="00E67935"/>
    <w:rsid w:val="00E708CA"/>
    <w:rsid w:val="00E71613"/>
    <w:rsid w:val="00E80E8A"/>
    <w:rsid w:val="00E92F69"/>
    <w:rsid w:val="00EA04DA"/>
    <w:rsid w:val="00EA68F1"/>
    <w:rsid w:val="00EB073B"/>
    <w:rsid w:val="00EB10B4"/>
    <w:rsid w:val="00EC0890"/>
    <w:rsid w:val="00EC0F10"/>
    <w:rsid w:val="00EC11C6"/>
    <w:rsid w:val="00EF562B"/>
    <w:rsid w:val="00F0528E"/>
    <w:rsid w:val="00F07936"/>
    <w:rsid w:val="00F10202"/>
    <w:rsid w:val="00F163F9"/>
    <w:rsid w:val="00F477C9"/>
    <w:rsid w:val="00F529D8"/>
    <w:rsid w:val="00F715F9"/>
    <w:rsid w:val="00F743BF"/>
    <w:rsid w:val="00F77FD8"/>
    <w:rsid w:val="00F8169E"/>
    <w:rsid w:val="00F9305D"/>
    <w:rsid w:val="00F94523"/>
    <w:rsid w:val="00F96C5B"/>
    <w:rsid w:val="00FB3F8B"/>
    <w:rsid w:val="00FC1B5A"/>
    <w:rsid w:val="00FC63CF"/>
    <w:rsid w:val="00FD6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B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41453"/>
    <w:pPr>
      <w:overflowPunct w:val="0"/>
      <w:autoSpaceDE w:val="0"/>
      <w:autoSpaceDN w:val="0"/>
      <w:adjustRightInd w:val="0"/>
      <w:spacing w:line="360" w:lineRule="auto"/>
      <w:ind w:right="-765"/>
      <w:jc w:val="both"/>
      <w:textAlignment w:val="baseline"/>
    </w:pPr>
    <w:rPr>
      <w:sz w:val="22"/>
      <w:szCs w:val="20"/>
    </w:rPr>
  </w:style>
  <w:style w:type="character" w:customStyle="1" w:styleId="BodyText2Char">
    <w:name w:val="Body Text 2 Char"/>
    <w:basedOn w:val="DefaultParagraphFont"/>
    <w:link w:val="BodyText2"/>
    <w:uiPriority w:val="99"/>
    <w:semiHidden/>
    <w:rsid w:val="00D31D37"/>
    <w:rPr>
      <w:sz w:val="24"/>
      <w:szCs w:val="24"/>
      <w:lang w:eastAsia="en-US"/>
    </w:rPr>
  </w:style>
  <w:style w:type="table" w:styleId="TableGrid">
    <w:name w:val="Table Grid"/>
    <w:basedOn w:val="TableNormal"/>
    <w:uiPriority w:val="99"/>
    <w:rsid w:val="00E41453"/>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75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B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41453"/>
    <w:pPr>
      <w:overflowPunct w:val="0"/>
      <w:autoSpaceDE w:val="0"/>
      <w:autoSpaceDN w:val="0"/>
      <w:adjustRightInd w:val="0"/>
      <w:spacing w:line="360" w:lineRule="auto"/>
      <w:ind w:right="-765"/>
      <w:jc w:val="both"/>
      <w:textAlignment w:val="baseline"/>
    </w:pPr>
    <w:rPr>
      <w:sz w:val="22"/>
      <w:szCs w:val="20"/>
    </w:rPr>
  </w:style>
  <w:style w:type="character" w:customStyle="1" w:styleId="BodyText2Char">
    <w:name w:val="Body Text 2 Char"/>
    <w:basedOn w:val="DefaultParagraphFont"/>
    <w:link w:val="BodyText2"/>
    <w:uiPriority w:val="99"/>
    <w:semiHidden/>
    <w:rsid w:val="00D31D37"/>
    <w:rPr>
      <w:sz w:val="24"/>
      <w:szCs w:val="24"/>
      <w:lang w:eastAsia="en-US"/>
    </w:rPr>
  </w:style>
  <w:style w:type="table" w:styleId="TableGrid">
    <w:name w:val="Table Grid"/>
    <w:basedOn w:val="TableNormal"/>
    <w:uiPriority w:val="99"/>
    <w:rsid w:val="00E41453"/>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75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6891</Words>
  <Characters>3928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JŪRMALAS PILSĒTAS DOMES</vt:lpstr>
    </vt:vector>
  </TitlesOfParts>
  <Company>Jurmalas pilsetas dome</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JŪRMALAS PILSĒTAS DOMES</dc:title>
  <dc:creator>JPD</dc:creator>
  <cp:lastModifiedBy>user</cp:lastModifiedBy>
  <cp:revision>2</cp:revision>
  <cp:lastPrinted>2014-05-07T11:50:00Z</cp:lastPrinted>
  <dcterms:created xsi:type="dcterms:W3CDTF">2014-08-05T05:06:00Z</dcterms:created>
  <dcterms:modified xsi:type="dcterms:W3CDTF">2014-08-05T05:06:00Z</dcterms:modified>
</cp:coreProperties>
</file>